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#98bis</w:t>
      </w:r>
      <w:r>
        <w:rPr>
          <w:rFonts w:ascii="Arial" w:hAnsi="Arial" w:cs="Arial"/>
          <w:b/>
          <w:sz w:val="22"/>
          <w:szCs w:val="22"/>
        </w:rPr>
        <w:tab/>
      </w:r>
      <w:r>
        <w:rPr>
          <w:rFonts w:ascii="Arial" w:hAnsi="Arial" w:cs="Arial"/>
          <w:b/>
          <w:sz w:val="22"/>
          <w:szCs w:val="22"/>
        </w:rPr>
        <w:t>R1-1910109</w:t>
      </w:r>
    </w:p>
    <w:p>
      <w:pPr>
        <w:tabs>
          <w:tab w:val="right" w:pos="9630"/>
        </w:tabs>
        <w:spacing w:after="0"/>
        <w:rPr>
          <w:rFonts w:ascii="Arial" w:hAnsi="Arial" w:cs="Arial"/>
          <w:b/>
          <w:sz w:val="22"/>
          <w:szCs w:val="22"/>
        </w:rPr>
      </w:pPr>
      <w:r>
        <w:rPr>
          <w:rFonts w:ascii="Arial" w:hAnsi="Arial" w:cs="Arial"/>
          <w:b/>
          <w:sz w:val="22"/>
          <w:szCs w:val="22"/>
          <w:lang w:eastAsia="zh-CN"/>
        </w:rPr>
        <w:t>Chongqing, China, 14</w:t>
      </w:r>
      <w:r>
        <w:rPr>
          <w:rFonts w:ascii="Arial" w:hAnsi="Arial" w:cs="Arial"/>
          <w:b/>
          <w:sz w:val="22"/>
          <w:szCs w:val="22"/>
          <w:vertAlign w:val="superscript"/>
          <w:lang w:eastAsia="zh-CN"/>
        </w:rPr>
        <w:t>th</w:t>
      </w:r>
      <w:r>
        <w:rPr>
          <w:rFonts w:ascii="Arial" w:hAnsi="Arial" w:cs="Arial"/>
          <w:b/>
          <w:sz w:val="22"/>
          <w:szCs w:val="22"/>
        </w:rPr>
        <w:t xml:space="preserve"> – 20</w:t>
      </w:r>
      <w:r>
        <w:rPr>
          <w:rFonts w:ascii="Arial" w:hAnsi="Arial" w:cs="Arial"/>
          <w:b/>
          <w:sz w:val="22"/>
          <w:szCs w:val="22"/>
          <w:vertAlign w:val="superscript"/>
          <w:lang w:eastAsia="zh-CN"/>
        </w:rPr>
        <w:t xml:space="preserve">th </w:t>
      </w:r>
      <w:r>
        <w:rPr>
          <w:rFonts w:ascii="Arial" w:hAnsi="Arial" w:cs="Arial"/>
          <w:b/>
          <w:sz w:val="22"/>
          <w:szCs w:val="22"/>
          <w:lang w:eastAsia="zh-CN"/>
        </w:rPr>
        <w:t>August,</w:t>
      </w:r>
      <w:r>
        <w:rPr>
          <w:rFonts w:ascii="Arial" w:hAnsi="Arial" w:cs="Arial"/>
          <w:b/>
          <w:sz w:val="22"/>
          <w:szCs w:val="22"/>
        </w:rPr>
        <w:t xml:space="preserve"> 2019</w:t>
      </w:r>
      <w:r>
        <w:rPr>
          <w:rFonts w:ascii="Arial" w:hAnsi="Arial" w:cs="Arial"/>
          <w:b/>
          <w:sz w:val="22"/>
          <w:szCs w:val="22"/>
        </w:rPr>
        <w:tab/>
      </w:r>
    </w:p>
    <w:p>
      <w:pPr>
        <w:pStyle w:val="38"/>
        <w:jc w:val="both"/>
      </w:pP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 Corporation</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ascii="Arial" w:hAnsi="Arial"/>
          <w:b/>
        </w:rPr>
        <w:t>Discussion on low latency SCell activation</w:t>
      </w:r>
    </w:p>
    <w:p>
      <w:pPr>
        <w:tabs>
          <w:tab w:val="left" w:pos="1985"/>
        </w:tabs>
        <w:spacing w:after="0"/>
        <w:rPr>
          <w:rFonts w:ascii="Arial" w:hAnsi="Arial"/>
          <w:b/>
          <w:lang w:eastAsia="zh-CN"/>
        </w:rPr>
      </w:pPr>
      <w:r>
        <w:rPr>
          <w:rFonts w:ascii="Arial" w:hAnsi="Arial"/>
          <w:b/>
        </w:rPr>
        <w:t>Agenda item:</w:t>
      </w:r>
      <w:r>
        <w:rPr>
          <w:rFonts w:ascii="Arial" w:hAnsi="Arial"/>
          <w:b/>
        </w:rPr>
        <w:tab/>
      </w:r>
      <w:r>
        <w:rPr>
          <w:rFonts w:ascii="Arial" w:hAnsi="Arial"/>
          <w:b/>
        </w:rPr>
        <w:t>7.2.13.</w:t>
      </w:r>
      <w:r>
        <w:rPr>
          <w:rFonts w:ascii="Arial" w:hAnsi="Arial"/>
          <w:b/>
          <w:lang w:eastAsia="zh-CN"/>
        </w:rPr>
        <w:t>3</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t>Introduction</w:t>
      </w:r>
      <w:bookmarkEnd w:id="0"/>
      <w:bookmarkEnd w:id="2"/>
    </w:p>
    <w:p>
      <w:pPr>
        <w:rPr>
          <w:lang w:val="en-GB" w:eastAsia="zh-CN"/>
        </w:rPr>
      </w:pPr>
      <w:r>
        <w:rPr>
          <w:rFonts w:hint="eastAsia"/>
          <w:lang w:val="en-GB" w:eastAsia="zh-CN"/>
        </w:rPr>
        <w:t>D</w:t>
      </w:r>
      <w:r>
        <w:rPr>
          <w:lang w:val="en-GB" w:eastAsia="zh-CN"/>
        </w:rPr>
        <w:t xml:space="preserve">uring RAN#85 meeting, the overlapping scope about dormancy behaviour between MR-DC/CA WI and Power Saving WI has been clarified with the following guidance </w:t>
      </w:r>
      <w:r>
        <w:rPr>
          <w:lang w:val="en-GB" w:eastAsia="zh-CN"/>
        </w:rPr>
        <w:fldChar w:fldCharType="begin"/>
      </w:r>
      <w:r>
        <w:rPr>
          <w:lang w:val="en-GB" w:eastAsia="zh-CN"/>
        </w:rPr>
        <w:instrText xml:space="preserve"> REF _Ref20986049 \r \h </w:instrText>
      </w:r>
      <w:r>
        <w:rPr>
          <w:lang w:val="en-GB" w:eastAsia="zh-CN"/>
        </w:rPr>
        <w:fldChar w:fldCharType="separate"/>
      </w:r>
      <w:r>
        <w:rPr>
          <w:lang w:val="en-GB" w:eastAsia="zh-CN"/>
        </w:rPr>
        <w:t>[1]</w:t>
      </w:r>
      <w:r>
        <w:rPr>
          <w:lang w:val="en-GB" w:eastAsia="zh-CN"/>
        </w:rPr>
        <w:fldChar w:fldCharType="end"/>
      </w:r>
      <w:r>
        <w:rPr>
          <w:lang w:val="en-GB" w:eastAsia="zh-CN"/>
        </w:rPr>
        <w:t>. According to the guidance, dormancy behaviour for SCell activation will first be handled in MR-DC/CA WI. If additional UE behaviour is needed for power saving signal/channel outside active time, RAN1 chair will treat this together with dormancy discussion under MR-DC/CA WI.</w:t>
      </w:r>
    </w:p>
    <w:tbl>
      <w:tblPr>
        <w:tblStyle w:val="59"/>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8" w:type="dxa"/>
          </w:tcPr>
          <w:p>
            <w:pPr>
              <w:pStyle w:val="114"/>
              <w:numPr>
                <w:ilvl w:val="0"/>
                <w:numId w:val="9"/>
              </w:numPr>
              <w:spacing w:before="0" w:after="0" w:line="240" w:lineRule="auto"/>
              <w:ind w:hanging="357"/>
              <w:jc w:val="left"/>
              <w:rPr>
                <w:rFonts w:ascii="New York" w:hAnsi="New York" w:eastAsia="Times New Roman"/>
                <w:b/>
                <w:bCs/>
                <w:lang w:val="en-US"/>
              </w:rPr>
            </w:pPr>
            <w:r>
              <w:rPr>
                <w:rFonts w:ascii="New York" w:hAnsi="New York" w:eastAsia="Times New Roman"/>
                <w:b/>
                <w:bCs/>
              </w:rPr>
              <w:t xml:space="preserve">RANP tasks RAN2 to define dormancy behavior under MR-DC/CA WI </w:t>
            </w:r>
          </w:p>
          <w:p>
            <w:pPr>
              <w:pStyle w:val="114"/>
              <w:numPr>
                <w:ilvl w:val="0"/>
                <w:numId w:val="9"/>
              </w:numPr>
              <w:spacing w:before="0" w:after="0" w:line="240" w:lineRule="auto"/>
              <w:ind w:hanging="357"/>
              <w:jc w:val="left"/>
              <w:rPr>
                <w:rFonts w:ascii="New York" w:hAnsi="New York" w:eastAsia="Times New Roman"/>
                <w:b/>
                <w:bCs/>
              </w:rPr>
            </w:pPr>
            <w:r>
              <w:rPr>
                <w:rFonts w:ascii="New York" w:hAnsi="New York" w:eastAsia="Times New Roman"/>
                <w:b/>
                <w:bCs/>
              </w:rPr>
              <w:t xml:space="preserve">In parallel, in the next quarter, RAN1, in consultation with RAN2, specifies L1 based mechanism for transitioning between ‘dormancy-like’ and ‘non-dormancy-like’ behavior on activated SCells under MC-DC/CA WI. </w:t>
            </w:r>
          </w:p>
          <w:p>
            <w:pPr>
              <w:pStyle w:val="114"/>
              <w:numPr>
                <w:ilvl w:val="0"/>
                <w:numId w:val="9"/>
              </w:numPr>
              <w:spacing w:before="0" w:after="0" w:line="240" w:lineRule="auto"/>
              <w:ind w:hanging="357"/>
              <w:jc w:val="left"/>
              <w:rPr>
                <w:rFonts w:ascii="New York" w:hAnsi="New York" w:eastAsia="Times New Roman"/>
                <w:b/>
                <w:bCs/>
              </w:rPr>
            </w:pPr>
            <w:r>
              <w:rPr>
                <w:rFonts w:ascii="New York" w:hAnsi="New York" w:eastAsia="Times New Roman"/>
                <w:b/>
                <w:bCs/>
              </w:rPr>
              <w:t xml:space="preserve">Further study will be conducted if any additional UE behavior is needed when UE is also configured for receiving PDCCH based power saving signal/channel outside active time, and, if agreed, the additional UE behavior will be specified.  </w:t>
            </w:r>
          </w:p>
          <w:p>
            <w:pPr>
              <w:pStyle w:val="114"/>
              <w:numPr>
                <w:ilvl w:val="1"/>
                <w:numId w:val="9"/>
              </w:numPr>
              <w:spacing w:before="0" w:after="0" w:line="240" w:lineRule="auto"/>
              <w:ind w:hanging="357"/>
              <w:jc w:val="left"/>
              <w:rPr>
                <w:rFonts w:ascii="New York" w:hAnsi="New York" w:eastAsia="Times New Roman"/>
                <w:b/>
                <w:bCs/>
              </w:rPr>
            </w:pPr>
            <w:r>
              <w:rPr>
                <w:rFonts w:ascii="New York" w:hAnsi="New York" w:eastAsia="Times New Roman"/>
                <w:b/>
                <w:bCs/>
              </w:rPr>
              <w:t>RAN1 chair will treat this together with dormancy discussion under MR-DC/CA WI</w:t>
            </w:r>
          </w:p>
          <w:p>
            <w:pPr>
              <w:pStyle w:val="114"/>
              <w:numPr>
                <w:ilvl w:val="1"/>
                <w:numId w:val="9"/>
              </w:numPr>
              <w:spacing w:before="0" w:after="0" w:line="240" w:lineRule="auto"/>
              <w:ind w:hanging="357"/>
              <w:jc w:val="left"/>
              <w:rPr>
                <w:rFonts w:ascii="New York" w:hAnsi="New York" w:eastAsia="Times New Roman"/>
                <w:b/>
                <w:bCs/>
              </w:rPr>
            </w:pPr>
            <w:r>
              <w:rPr>
                <w:rFonts w:ascii="New York" w:hAnsi="New York" w:eastAsia="Times New Roman"/>
                <w:b/>
                <w:bCs/>
              </w:rPr>
              <w:t>RAN2 will wait for RAN1 conclusion.  If it is agreed that additional behavior is needed for outside of active time, RAN2 chair will decide how to split the work between MC-DC/CA and Power Saving.   </w:t>
            </w:r>
          </w:p>
          <w:p>
            <w:pPr>
              <w:pStyle w:val="114"/>
              <w:numPr>
                <w:ilvl w:val="0"/>
                <w:numId w:val="9"/>
              </w:numPr>
              <w:spacing w:before="0" w:after="0" w:line="240" w:lineRule="auto"/>
              <w:ind w:hanging="357"/>
              <w:jc w:val="left"/>
              <w:rPr>
                <w:rFonts w:ascii="New York" w:hAnsi="New York" w:eastAsia="Times New Roman"/>
                <w:b/>
                <w:bCs/>
              </w:rPr>
            </w:pPr>
            <w:r>
              <w:rPr>
                <w:rFonts w:ascii="New York" w:hAnsi="New York" w:eastAsia="Times New Roman"/>
                <w:b/>
                <w:bCs/>
              </w:rPr>
              <w:t>MR-DC/CA and Power Saving WID will not be updated</w:t>
            </w:r>
          </w:p>
        </w:tc>
      </w:tr>
    </w:tbl>
    <w:p>
      <w:pPr>
        <w:rPr>
          <w:lang w:val="en-GB" w:eastAsia="zh-CN"/>
        </w:rPr>
      </w:pPr>
    </w:p>
    <w:p>
      <w:pPr>
        <w:rPr>
          <w:lang w:val="en-GB" w:eastAsia="zh-CN"/>
        </w:rPr>
      </w:pPr>
      <w:r>
        <w:rPr>
          <w:lang w:val="en-GB" w:eastAsia="zh-CN"/>
        </w:rPr>
        <w:t xml:space="preserve">During RAN1#98 meeting, </w:t>
      </w:r>
      <w:r>
        <w:rPr>
          <w:rFonts w:hint="eastAsia"/>
          <w:lang w:val="en-GB" w:eastAsia="zh-CN"/>
        </w:rPr>
        <w:t>both</w:t>
      </w:r>
      <w:r>
        <w:rPr>
          <w:lang w:val="en-GB" w:eastAsia="zh-CN"/>
        </w:rPr>
        <w:t xml:space="preserve"> temporary RS and dormancy behaviour have been discussed. In this contribution, we further analyse this two solutions for fast SCell activation.</w:t>
      </w:r>
    </w:p>
    <w:p>
      <w:pPr>
        <w:pStyle w:val="2"/>
        <w:rPr>
          <w:lang w:eastAsia="zh-CN"/>
        </w:rPr>
      </w:pPr>
      <w:r>
        <w:rPr>
          <w:lang w:eastAsia="zh-CN"/>
        </w:rPr>
        <w:t>Temporary RS</w:t>
      </w:r>
    </w:p>
    <w:p>
      <w:pPr>
        <w:rPr>
          <w:lang w:val="en-GB" w:eastAsia="zh-CN"/>
        </w:rPr>
      </w:pPr>
      <w:r>
        <w:rPr>
          <w:rFonts w:hint="eastAsia"/>
          <w:lang w:val="en-GB" w:eastAsia="zh-CN"/>
        </w:rPr>
        <w:t>A</w:t>
      </w:r>
      <w:r>
        <w:rPr>
          <w:lang w:val="en-GB" w:eastAsia="zh-CN"/>
        </w:rPr>
        <w:t xml:space="preserve">ccording to our contribution in RAN1#98 meeting </w:t>
      </w:r>
      <w:r>
        <w:rPr>
          <w:lang w:val="en-GB" w:eastAsia="zh-CN"/>
        </w:rPr>
        <w:fldChar w:fldCharType="begin"/>
      </w:r>
      <w:r>
        <w:rPr>
          <w:lang w:val="en-GB" w:eastAsia="zh-CN"/>
        </w:rPr>
        <w:instrText xml:space="preserve"> REF _Ref20986105 \r \h </w:instrText>
      </w:r>
      <w:r>
        <w:rPr>
          <w:lang w:val="en-GB" w:eastAsia="zh-CN"/>
        </w:rPr>
        <w:fldChar w:fldCharType="separate"/>
      </w:r>
      <w:r>
        <w:rPr>
          <w:lang w:val="en-GB" w:eastAsia="zh-CN"/>
        </w:rPr>
        <w:t>[2]</w:t>
      </w:r>
      <w:r>
        <w:rPr>
          <w:lang w:val="en-GB" w:eastAsia="zh-CN"/>
        </w:rPr>
        <w:fldChar w:fldCharType="end"/>
      </w:r>
      <w:r>
        <w:rPr>
          <w:lang w:val="en-GB" w:eastAsia="zh-CN"/>
        </w:rPr>
        <w:t>, both temporary RS and dormancy behaviour can reduce the SCell activation latency. The dormancy behaviour provides a smaller SCell activation latency compared with temporary RS at the cost of higher power consumption and higher DL/UL resource overhead.</w:t>
      </w:r>
    </w:p>
    <w:p>
      <w:pPr>
        <w:rPr>
          <w:lang w:val="en-GB" w:eastAsia="zh-CN"/>
        </w:rPr>
      </w:pPr>
      <w:r>
        <w:rPr>
          <w:lang w:val="en-GB" w:eastAsia="zh-CN"/>
        </w:rPr>
        <w:t>From our understanding, the temporary RS and dormancy behaviour are targeted to different use cases. The target use case for dormancy behaviour is frequent traffic load, which tries to keep the SCell in active state. When the traffic arrives, the SCell can switch from dormancy to normal state promptly. While the target use case for temporary RS is low traffic load. If there is low traffic load, keeping BWP in the SCell in dormancy greatly increases the power consumption, uplink overhead for CSI report and downlink overhead for CSI measurement. In this case, it is better to just deactivate the SCell. When the traffic arrives, temporary RS can be adopted to reduce the SCell activation delay.</w:t>
      </w:r>
    </w:p>
    <w:p>
      <w:pPr>
        <w:rPr>
          <w:lang w:val="en-GB" w:eastAsia="zh-CN"/>
        </w:rPr>
      </w:pPr>
      <w:r>
        <w:rPr>
          <w:lang w:val="en-GB" w:eastAsia="zh-CN"/>
        </w:rPr>
        <w:t>Moreover, dormancy behaviour can’t cover all the cases, e.g., direct configuration of SCell in activated state during handover, SCell addition, SCG change and resume (which is FFS). For these scenarios, the temporary RS is more suitable to reduce the SCell activation delay.</w:t>
      </w:r>
    </w:p>
    <w:p>
      <w:pPr>
        <w:rPr>
          <w:lang w:val="en-GB" w:eastAsia="zh-CN"/>
        </w:rPr>
      </w:pPr>
      <w:r>
        <w:rPr>
          <w:lang w:val="en-GB" w:eastAsia="zh-CN"/>
        </w:rPr>
        <w:t>Since temporary RS and dormancy behaviour are targeted to different use cases, both two solutions can be supported.</w:t>
      </w:r>
    </w:p>
    <w:p>
      <w:pPr>
        <w:rPr>
          <w:i/>
          <w:lang w:val="en-GB" w:eastAsia="zh-CN"/>
        </w:rPr>
      </w:pPr>
      <w:r>
        <w:rPr>
          <w:b/>
          <w:i/>
          <w:lang w:val="en-GB" w:eastAsia="zh-CN"/>
        </w:rPr>
        <w:t>Proposal 1</w:t>
      </w:r>
      <w:r>
        <w:rPr>
          <w:i/>
          <w:lang w:val="en-GB" w:eastAsia="zh-CN"/>
        </w:rPr>
        <w:t>: Support both temporary RS and dormancy behaviour for fast SCell activation.</w:t>
      </w:r>
    </w:p>
    <w:p>
      <w:pPr>
        <w:rPr>
          <w:lang w:val="en-GB" w:eastAsia="zh-CN"/>
        </w:rPr>
      </w:pPr>
      <w:r>
        <w:rPr>
          <w:rFonts w:hint="eastAsia"/>
          <w:lang w:val="en-GB" w:eastAsia="zh-CN"/>
        </w:rPr>
        <w:t>I</w:t>
      </w:r>
      <w:r>
        <w:rPr>
          <w:lang w:val="en-GB" w:eastAsia="zh-CN"/>
        </w:rPr>
        <w:t>n RAN1#98, two options have been summarized for temporary RS. Due to the late stage of Rel-16, the option with less spec impact the specification workload is preferred. From this perspective, Option 1 seems to be more attractive since it has little RAN1 spec impact.</w:t>
      </w:r>
    </w:p>
    <w:p>
      <w:pPr>
        <w:rPr>
          <w:lang w:val="en-GB" w:eastAsia="zh-CN"/>
        </w:rPr>
      </w:pPr>
      <w:r>
        <w:rPr>
          <w:lang w:val="en-GB" w:eastAsia="zh-CN"/>
        </w:rPr>
        <w:t xml:space="preserve">According to the current RAN1 mechanism, </w:t>
      </w:r>
      <w:r>
        <w:rPr>
          <w:i/>
          <w:lang w:val="en-GB" w:eastAsia="zh-CN"/>
        </w:rPr>
        <w:t>K1+3ms</w:t>
      </w:r>
      <w:r>
        <w:rPr>
          <w:lang w:val="en-GB" w:eastAsia="zh-CN"/>
        </w:rPr>
        <w:t xml:space="preserve"> is reserved for MAC CE processing and RF warm up. The similar mechanism be can reused for temporary RS triggering. Network transmits the temporary RS triggering DCI to UE before </w:t>
      </w:r>
      <w:r>
        <w:rPr>
          <w:i/>
          <w:lang w:val="en-GB" w:eastAsia="zh-CN"/>
        </w:rPr>
        <w:t>K1+3ms</w:t>
      </w:r>
      <w:r>
        <w:rPr>
          <w:lang w:val="en-GB" w:eastAsia="zh-CN"/>
        </w:rPr>
        <w:t xml:space="preserve"> and transmits the triggered temporary RS to UE later than </w:t>
      </w:r>
      <w:r>
        <w:rPr>
          <w:i/>
          <w:lang w:val="en-GB" w:eastAsia="zh-CN"/>
        </w:rPr>
        <w:t>K1+3ms</w:t>
      </w:r>
      <w:r>
        <w:rPr>
          <w:lang w:val="en-GB" w:eastAsia="zh-CN"/>
        </w:rPr>
        <w:t xml:space="preserve">.  The only change in RAN1 spec is to allow triggering of temporary RS transmitted in this time duration before SCell activation.    </w:t>
      </w:r>
    </w:p>
    <w:p>
      <w:pPr>
        <w:rPr>
          <w:i/>
          <w:lang w:val="en-GB" w:eastAsia="zh-CN"/>
        </w:rPr>
      </w:pPr>
      <w:r>
        <w:rPr>
          <w:b/>
          <w:i/>
          <w:lang w:val="en-GB" w:eastAsia="zh-CN"/>
        </w:rPr>
        <w:t>Proposal 2</w:t>
      </w:r>
      <w:r>
        <w:rPr>
          <w:i/>
          <w:lang w:val="en-GB" w:eastAsia="zh-CN"/>
        </w:rPr>
        <w:t>: For temporary RS, NW can send activation command MAC CE and also independently use existing signalling to trigger aperiodic/semi-persistent CSI-RS when sending the activation command (Option 1). Network transmits the temporary RS triggering command to UE before K1+3ms and transmits the triggered temporary RS to UE later than K1+3ms.</w:t>
      </w:r>
    </w:p>
    <w:p>
      <w:pPr>
        <w:rPr>
          <w:lang w:val="en-GB" w:eastAsia="zh-CN"/>
        </w:rPr>
      </w:pPr>
    </w:p>
    <w:tbl>
      <w:tblPr>
        <w:tblStyle w:val="59"/>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8" w:type="dxa"/>
          </w:tcPr>
          <w:p>
            <w:pPr>
              <w:spacing w:before="0" w:line="240" w:lineRule="auto"/>
              <w:rPr>
                <w:rFonts w:ascii="New York" w:hAnsi="New York"/>
                <w:b/>
                <w:bCs/>
                <w:u w:val="single"/>
                <w:lang w:eastAsia="zh-CN"/>
              </w:rPr>
            </w:pPr>
            <w:r>
              <w:rPr>
                <w:rFonts w:ascii="New York" w:hAnsi="New York"/>
                <w:b/>
                <w:bCs/>
                <w:u w:val="single"/>
                <w:lang w:eastAsia="zh-CN"/>
              </w:rPr>
              <w:t>Conclusion:</w:t>
            </w:r>
          </w:p>
          <w:p>
            <w:pPr>
              <w:spacing w:before="0" w:line="240" w:lineRule="auto"/>
              <w:ind w:left="284"/>
              <w:rPr>
                <w:rFonts w:ascii="New York" w:hAnsi="New York"/>
              </w:rPr>
            </w:pPr>
            <w:r>
              <w:rPr>
                <w:rFonts w:ascii="New York" w:hAnsi="New York"/>
              </w:rPr>
              <w:t>Study further the following two options and aim to conclude in RAN1#98bis:</w:t>
            </w:r>
          </w:p>
          <w:p>
            <w:pPr>
              <w:pStyle w:val="114"/>
              <w:numPr>
                <w:ilvl w:val="0"/>
                <w:numId w:val="10"/>
              </w:numPr>
              <w:spacing w:before="0" w:after="0" w:line="240" w:lineRule="auto"/>
              <w:ind w:left="1004"/>
              <w:contextualSpacing/>
              <w:jc w:val="left"/>
              <w:rPr>
                <w:rFonts w:ascii="New York" w:hAnsi="New York"/>
                <w:szCs w:val="20"/>
              </w:rPr>
            </w:pPr>
            <w:r>
              <w:rPr>
                <w:rFonts w:ascii="New York" w:hAnsi="New York"/>
                <w:szCs w:val="20"/>
              </w:rPr>
              <w:t>Option 1:</w:t>
            </w:r>
          </w:p>
          <w:p>
            <w:pPr>
              <w:pStyle w:val="114"/>
              <w:numPr>
                <w:ilvl w:val="1"/>
                <w:numId w:val="10"/>
              </w:numPr>
              <w:spacing w:before="0" w:after="0" w:line="240" w:lineRule="auto"/>
              <w:ind w:left="1724"/>
              <w:contextualSpacing/>
              <w:jc w:val="left"/>
              <w:rPr>
                <w:rFonts w:ascii="New York" w:hAnsi="New York"/>
                <w:szCs w:val="20"/>
              </w:rPr>
            </w:pPr>
            <w:r>
              <w:rPr>
                <w:rFonts w:ascii="New York" w:hAnsi="New York"/>
                <w:szCs w:val="20"/>
              </w:rPr>
              <w:t xml:space="preserve">NW can send activation command MAC CE and also independently use existing signalling to trigger aperiodic/semi-persistent CSI-RS when sending the activation command  </w:t>
            </w:r>
          </w:p>
          <w:p>
            <w:pPr>
              <w:pStyle w:val="114"/>
              <w:numPr>
                <w:ilvl w:val="1"/>
                <w:numId w:val="10"/>
              </w:numPr>
              <w:spacing w:before="0" w:after="0" w:line="240" w:lineRule="auto"/>
              <w:ind w:left="1724"/>
              <w:contextualSpacing/>
              <w:jc w:val="left"/>
              <w:rPr>
                <w:rFonts w:ascii="New York" w:hAnsi="New York"/>
                <w:szCs w:val="20"/>
              </w:rPr>
            </w:pPr>
            <w:r>
              <w:rPr>
                <w:rFonts w:ascii="New York" w:hAnsi="New York"/>
                <w:szCs w:val="20"/>
              </w:rPr>
              <w:t>Request RAN4 to consider specifying additional (tighter) maximum allowed activation delay requirements for following case</w:t>
            </w:r>
          </w:p>
          <w:p>
            <w:pPr>
              <w:pStyle w:val="114"/>
              <w:numPr>
                <w:ilvl w:val="2"/>
                <w:numId w:val="10"/>
              </w:numPr>
              <w:spacing w:before="0" w:after="0" w:line="240" w:lineRule="auto"/>
              <w:ind w:left="2444"/>
              <w:contextualSpacing/>
              <w:jc w:val="left"/>
              <w:rPr>
                <w:rFonts w:ascii="New York" w:hAnsi="New York"/>
                <w:szCs w:val="20"/>
              </w:rPr>
            </w:pPr>
            <w:r>
              <w:rPr>
                <w:rFonts w:ascii="New York" w:hAnsi="New York"/>
                <w:szCs w:val="20"/>
              </w:rPr>
              <w:t xml:space="preserve">UE receives activation command MAC CE for Scell activation and also aperiodic/semi-persistent CSI-RS for the Scell ’at the same time’ as the activation command </w:t>
            </w:r>
          </w:p>
          <w:p>
            <w:pPr>
              <w:pStyle w:val="114"/>
              <w:numPr>
                <w:ilvl w:val="3"/>
                <w:numId w:val="10"/>
              </w:numPr>
              <w:spacing w:before="0" w:after="0" w:line="240" w:lineRule="auto"/>
              <w:ind w:left="3164"/>
              <w:contextualSpacing/>
              <w:jc w:val="left"/>
              <w:rPr>
                <w:rFonts w:ascii="New York" w:hAnsi="New York"/>
                <w:szCs w:val="20"/>
              </w:rPr>
            </w:pPr>
            <w:r>
              <w:rPr>
                <w:rFonts w:ascii="New York" w:hAnsi="New York"/>
                <w:szCs w:val="20"/>
              </w:rPr>
              <w:t>FFS: ’at the same time’, i.e., exact timing between activation command and RS trigger</w:t>
            </w:r>
          </w:p>
          <w:p>
            <w:pPr>
              <w:pStyle w:val="114"/>
              <w:numPr>
                <w:ilvl w:val="3"/>
                <w:numId w:val="10"/>
              </w:numPr>
              <w:spacing w:before="0" w:after="0" w:line="240" w:lineRule="auto"/>
              <w:ind w:left="3164"/>
              <w:contextualSpacing/>
              <w:jc w:val="left"/>
              <w:rPr>
                <w:rFonts w:ascii="New York" w:hAnsi="New York"/>
                <w:szCs w:val="20"/>
              </w:rPr>
            </w:pPr>
            <w:r>
              <w:rPr>
                <w:rFonts w:ascii="New York" w:hAnsi="New York"/>
                <w:szCs w:val="20"/>
              </w:rPr>
              <w:t>FFS: if separate requirement based on specific RS configuration</w:t>
            </w:r>
          </w:p>
          <w:p>
            <w:pPr>
              <w:pStyle w:val="114"/>
              <w:numPr>
                <w:ilvl w:val="0"/>
                <w:numId w:val="10"/>
              </w:numPr>
              <w:spacing w:before="0" w:after="0" w:line="240" w:lineRule="auto"/>
              <w:ind w:left="1004"/>
              <w:contextualSpacing/>
              <w:jc w:val="left"/>
              <w:rPr>
                <w:rFonts w:ascii="New York" w:hAnsi="New York"/>
                <w:szCs w:val="20"/>
              </w:rPr>
            </w:pPr>
            <w:r>
              <w:rPr>
                <w:rFonts w:ascii="New York" w:hAnsi="New York"/>
                <w:szCs w:val="20"/>
              </w:rPr>
              <w:t>Option 2 - Support enhancement for triggering a specific CSI measurement/reporting configuration during MAC-CE based Scell activation</w:t>
            </w:r>
          </w:p>
          <w:p>
            <w:pPr>
              <w:pStyle w:val="114"/>
              <w:numPr>
                <w:ilvl w:val="1"/>
                <w:numId w:val="10"/>
              </w:numPr>
              <w:spacing w:before="0" w:after="0" w:line="240" w:lineRule="auto"/>
              <w:ind w:left="1724"/>
              <w:contextualSpacing/>
              <w:jc w:val="left"/>
              <w:rPr>
                <w:rFonts w:ascii="New York" w:hAnsi="New York"/>
                <w:szCs w:val="20"/>
              </w:rPr>
            </w:pPr>
            <w:r>
              <w:rPr>
                <w:rFonts w:ascii="New York" w:hAnsi="New York"/>
                <w:szCs w:val="20"/>
              </w:rPr>
              <w:t>CSI measurement/reporting is based on Rel-15/16 RS(s)</w:t>
            </w:r>
          </w:p>
          <w:p>
            <w:pPr>
              <w:pStyle w:val="114"/>
              <w:numPr>
                <w:ilvl w:val="1"/>
                <w:numId w:val="10"/>
              </w:numPr>
              <w:spacing w:before="0" w:after="0" w:line="240" w:lineRule="auto"/>
              <w:ind w:left="1724"/>
              <w:contextualSpacing/>
              <w:jc w:val="left"/>
              <w:rPr>
                <w:rFonts w:ascii="New York" w:hAnsi="New York"/>
                <w:szCs w:val="20"/>
              </w:rPr>
            </w:pPr>
            <w:r>
              <w:rPr>
                <w:rFonts w:ascii="New York" w:hAnsi="New York"/>
                <w:szCs w:val="20"/>
              </w:rPr>
              <w:t>FFS RS will be A-TRS, SP CSI-RS, aperiodic CSI-RS, SP TRS, etc.</w:t>
            </w:r>
          </w:p>
          <w:p>
            <w:pPr>
              <w:pStyle w:val="114"/>
              <w:numPr>
                <w:ilvl w:val="1"/>
                <w:numId w:val="10"/>
              </w:numPr>
              <w:spacing w:before="0" w:after="0" w:line="240" w:lineRule="auto"/>
              <w:ind w:left="1724"/>
              <w:contextualSpacing/>
              <w:jc w:val="left"/>
              <w:rPr>
                <w:rFonts w:ascii="New York" w:hAnsi="New York"/>
                <w:szCs w:val="20"/>
              </w:rPr>
            </w:pPr>
            <w:r>
              <w:rPr>
                <w:rFonts w:ascii="New York" w:hAnsi="New York"/>
                <w:szCs w:val="20"/>
              </w:rPr>
              <w:t>FFS between following candidates for enhanced triggering</w:t>
            </w:r>
          </w:p>
          <w:p>
            <w:pPr>
              <w:pStyle w:val="114"/>
              <w:numPr>
                <w:ilvl w:val="2"/>
                <w:numId w:val="10"/>
              </w:numPr>
              <w:spacing w:before="0" w:after="0" w:line="240" w:lineRule="auto"/>
              <w:ind w:left="2444"/>
              <w:contextualSpacing/>
              <w:jc w:val="left"/>
              <w:rPr>
                <w:rFonts w:ascii="New York" w:hAnsi="New York"/>
                <w:szCs w:val="20"/>
              </w:rPr>
            </w:pPr>
            <w:r>
              <w:rPr>
                <w:rFonts w:ascii="New York" w:hAnsi="New York"/>
                <w:szCs w:val="20"/>
              </w:rPr>
              <w:t>Implicit (i.e., Scell activation command reception implies specific RS is triggered like in LTE)</w:t>
            </w:r>
          </w:p>
          <w:p>
            <w:pPr>
              <w:pStyle w:val="114"/>
              <w:numPr>
                <w:ilvl w:val="2"/>
                <w:numId w:val="10"/>
              </w:numPr>
              <w:spacing w:before="0" w:after="0" w:line="240" w:lineRule="auto"/>
              <w:ind w:left="2444"/>
              <w:contextualSpacing/>
              <w:jc w:val="left"/>
              <w:rPr>
                <w:rFonts w:ascii="New York" w:hAnsi="New York"/>
                <w:szCs w:val="20"/>
              </w:rPr>
            </w:pPr>
            <w:r>
              <w:rPr>
                <w:rFonts w:ascii="New York" w:hAnsi="New York"/>
                <w:szCs w:val="20"/>
              </w:rPr>
              <w:t>Separate MAC CE linked to activation MAC CE</w:t>
            </w:r>
          </w:p>
          <w:p>
            <w:pPr>
              <w:pStyle w:val="114"/>
              <w:numPr>
                <w:ilvl w:val="2"/>
                <w:numId w:val="10"/>
              </w:numPr>
              <w:spacing w:before="0" w:after="0" w:line="240" w:lineRule="auto"/>
              <w:ind w:left="2444"/>
              <w:contextualSpacing/>
              <w:jc w:val="left"/>
              <w:rPr>
                <w:rFonts w:ascii="New York" w:hAnsi="New York"/>
                <w:szCs w:val="20"/>
              </w:rPr>
            </w:pPr>
            <w:r>
              <w:rPr>
                <w:rFonts w:ascii="New York" w:hAnsi="New York"/>
                <w:szCs w:val="20"/>
              </w:rPr>
              <w:t>Enhanced activation command MAC CE</w:t>
            </w:r>
          </w:p>
          <w:p>
            <w:pPr>
              <w:pStyle w:val="114"/>
              <w:numPr>
                <w:ilvl w:val="2"/>
                <w:numId w:val="10"/>
              </w:numPr>
              <w:spacing w:before="0" w:after="0" w:line="240" w:lineRule="auto"/>
              <w:ind w:left="2444"/>
              <w:contextualSpacing/>
              <w:jc w:val="left"/>
              <w:rPr>
                <w:rFonts w:ascii="New York" w:hAnsi="New York"/>
                <w:b/>
                <w:szCs w:val="20"/>
              </w:rPr>
            </w:pPr>
            <w:r>
              <w:rPr>
                <w:rFonts w:ascii="New York" w:hAnsi="New York"/>
                <w:szCs w:val="20"/>
              </w:rPr>
              <w:t>Other candidates not precluded</w:t>
            </w:r>
          </w:p>
          <w:p>
            <w:pPr>
              <w:spacing w:before="0" w:line="240" w:lineRule="auto"/>
              <w:ind w:left="568"/>
              <w:rPr>
                <w:rFonts w:ascii="New York" w:hAnsi="New York"/>
              </w:rPr>
            </w:pPr>
            <w:r>
              <w:rPr>
                <w:rFonts w:ascii="New York" w:hAnsi="New York"/>
              </w:rPr>
              <w:t>Note: companies (especially those interested in option 2) should bring ‘full proposals’ covering all design aspects for the next meeting.</w:t>
            </w:r>
          </w:p>
        </w:tc>
      </w:tr>
    </w:tbl>
    <w:p>
      <w:pPr>
        <w:rPr>
          <w:lang w:val="en-GB" w:eastAsia="zh-CN"/>
        </w:rPr>
      </w:pPr>
    </w:p>
    <w:p>
      <w:pPr>
        <w:pStyle w:val="2"/>
        <w:rPr>
          <w:lang w:eastAsia="zh-CN"/>
        </w:rPr>
      </w:pPr>
      <w:r>
        <w:rPr>
          <w:lang w:eastAsia="zh-CN"/>
        </w:rPr>
        <w:t>Dormancy behaviour</w:t>
      </w:r>
    </w:p>
    <w:p>
      <w:pPr>
        <w:rPr>
          <w:lang w:val="en-GB" w:eastAsia="zh-CN"/>
        </w:rPr>
      </w:pPr>
      <w:r>
        <w:rPr>
          <w:lang w:val="en-GB" w:eastAsia="zh-CN"/>
        </w:rPr>
        <w:t>During RAN1#98 meeting, a post meeting email discussion [98-NR-22] was agreed to discuss the potential solutions for dormancy behaviour. The outcome is listed in the Appendix.</w:t>
      </w:r>
    </w:p>
    <w:p>
      <w:pPr>
        <w:rPr>
          <w:lang w:val="en-GB" w:eastAsia="zh-CN"/>
        </w:rPr>
      </w:pPr>
      <w:r>
        <w:rPr>
          <w:lang w:val="en-GB" w:eastAsia="zh-CN"/>
        </w:rPr>
        <w:t>According to the previous discussion, the following issues have been identified. In this section, we present our analysis for these issues.</w:t>
      </w:r>
    </w:p>
    <w:p>
      <w:pPr>
        <w:rPr>
          <w:b/>
          <w:u w:val="single"/>
          <w:lang w:val="en-GB" w:eastAsia="zh-CN"/>
        </w:rPr>
      </w:pPr>
      <w:r>
        <w:rPr>
          <w:b/>
          <w:u w:val="single"/>
          <w:lang w:val="en-GB" w:eastAsia="zh-CN"/>
        </w:rPr>
        <w:t>State switch or BWP switch</w:t>
      </w:r>
    </w:p>
    <w:p>
      <w:pPr>
        <w:rPr>
          <w:lang w:val="en-GB" w:eastAsia="zh-CN"/>
        </w:rPr>
      </w:pPr>
      <w:r>
        <w:rPr>
          <w:lang w:val="en-GB" w:eastAsia="zh-CN"/>
        </w:rPr>
        <w:t xml:space="preserve">Firstly, two ways can be adopted to realize the switching between dormancy and non-dormancy behaviour, i.e., BWP state switching or BWP switching. As the left part of </w:t>
      </w:r>
      <w:r>
        <w:rPr>
          <w:lang w:val="en-GB" w:eastAsia="zh-CN"/>
        </w:rPr>
        <w:fldChar w:fldCharType="begin"/>
      </w:r>
      <w:r>
        <w:rPr>
          <w:lang w:val="en-GB" w:eastAsia="zh-CN"/>
        </w:rPr>
        <w:instrText xml:space="preserve"> REF _Ref20988616 \h  \* MERGEFORMAT </w:instrText>
      </w:r>
      <w:r>
        <w:rPr>
          <w:lang w:val="en-GB" w:eastAsia="zh-CN"/>
        </w:rPr>
        <w:fldChar w:fldCharType="separate"/>
      </w:r>
      <w:r>
        <w:t>Figure 1</w:t>
      </w:r>
      <w:r>
        <w:rPr>
          <w:lang w:val="en-GB" w:eastAsia="zh-CN"/>
        </w:rPr>
        <w:fldChar w:fldCharType="end"/>
      </w:r>
      <w:r>
        <w:rPr>
          <w:lang w:val="en-GB" w:eastAsia="zh-CN"/>
        </w:rPr>
        <w:t xml:space="preserve"> shown, BWP state switching is adopted to realize the switching between dormancy behaviour (dormant state) and non-dormancy behaviour (active state). As the right part of </w:t>
      </w:r>
      <w:r>
        <w:rPr>
          <w:lang w:val="en-GB" w:eastAsia="zh-CN"/>
        </w:rPr>
        <w:fldChar w:fldCharType="begin"/>
      </w:r>
      <w:r>
        <w:rPr>
          <w:lang w:val="en-GB" w:eastAsia="zh-CN"/>
        </w:rPr>
        <w:instrText xml:space="preserve"> REF _Ref20988616 \h  \* MERGEFORMAT </w:instrText>
      </w:r>
      <w:r>
        <w:rPr>
          <w:lang w:val="en-GB" w:eastAsia="zh-CN"/>
        </w:rPr>
        <w:fldChar w:fldCharType="separate"/>
      </w:r>
      <w:r>
        <w:t>Figure 1</w:t>
      </w:r>
      <w:r>
        <w:rPr>
          <w:lang w:val="en-GB" w:eastAsia="zh-CN"/>
        </w:rPr>
        <w:fldChar w:fldCharType="end"/>
      </w:r>
      <w:r>
        <w:rPr>
          <w:lang w:val="en-GB" w:eastAsia="zh-CN"/>
        </w:rPr>
        <w:t xml:space="preserve"> shown, the BWP switching is adopted to realize the switching between dormancy behaviour (dormant BWP) and non-dormancy behaviour (active BWP).</w:t>
      </w:r>
    </w:p>
    <w:p>
      <w:pPr>
        <w:keepNext/>
      </w:pPr>
      <w:r>
        <w:rPr>
          <w:lang w:eastAsia="zh-CN"/>
        </w:rPr>
        <w:drawing>
          <wp:inline distT="0" distB="0" distL="0" distR="0">
            <wp:extent cx="2879725" cy="781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880000" cy="781637"/>
                    </a:xfrm>
                    <a:prstGeom prst="rect">
                      <a:avLst/>
                    </a:prstGeom>
                    <a:noFill/>
                  </pic:spPr>
                </pic:pic>
              </a:graphicData>
            </a:graphic>
          </wp:inline>
        </w:drawing>
      </w:r>
      <w:r>
        <w:rPr>
          <w:rFonts w:hint="eastAsia"/>
          <w:lang w:val="en-GB" w:eastAsia="zh-CN"/>
        </w:rPr>
        <w:t xml:space="preserve"> </w:t>
      </w:r>
      <w:r>
        <w:rPr>
          <w:lang w:val="en-GB" w:eastAsia="zh-CN"/>
        </w:rPr>
        <w:t xml:space="preserve"> </w:t>
      </w:r>
      <w:r>
        <w:rPr>
          <w:lang w:eastAsia="zh-CN"/>
        </w:rPr>
        <w:drawing>
          <wp:inline distT="0" distB="0" distL="0" distR="0">
            <wp:extent cx="2879725" cy="85534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880000" cy="855629"/>
                    </a:xfrm>
                    <a:prstGeom prst="rect">
                      <a:avLst/>
                    </a:prstGeom>
                    <a:noFill/>
                  </pic:spPr>
                </pic:pic>
              </a:graphicData>
            </a:graphic>
          </wp:inline>
        </w:drawing>
      </w:r>
    </w:p>
    <w:p>
      <w:pPr>
        <w:pStyle w:val="30"/>
        <w:jc w:val="center"/>
        <w:rPr>
          <w:b w:val="0"/>
          <w:lang w:val="en-GB" w:eastAsia="zh-CN"/>
        </w:rPr>
      </w:pPr>
      <w:bookmarkStart w:id="3" w:name="_Ref20988616"/>
      <w:r>
        <w:rPr>
          <w:b w:val="0"/>
        </w:rPr>
        <w:t xml:space="preserve">Figure </w:t>
      </w:r>
      <w:r>
        <w:rPr>
          <w:b w:val="0"/>
        </w:rPr>
        <w:fldChar w:fldCharType="begin"/>
      </w:r>
      <w:r>
        <w:rPr>
          <w:b w:val="0"/>
        </w:rPr>
        <w:instrText xml:space="preserve"> SEQ Figure \* ARABIC </w:instrText>
      </w:r>
      <w:r>
        <w:rPr>
          <w:b w:val="0"/>
        </w:rPr>
        <w:fldChar w:fldCharType="separate"/>
      </w:r>
      <w:r>
        <w:rPr>
          <w:b w:val="0"/>
        </w:rPr>
        <w:t>1</w:t>
      </w:r>
      <w:r>
        <w:rPr>
          <w:b w:val="0"/>
        </w:rPr>
        <w:fldChar w:fldCharType="end"/>
      </w:r>
      <w:bookmarkEnd w:id="3"/>
      <w:r>
        <w:rPr>
          <w:b w:val="0"/>
        </w:rPr>
        <w:t>. Dormancy and non-dormancy switching via BWP state switching or BWP switching.</w:t>
      </w:r>
    </w:p>
    <w:p>
      <w:pPr>
        <w:rPr>
          <w:lang w:val="en-GB" w:eastAsia="zh-CN"/>
        </w:rPr>
      </w:pPr>
      <w:r>
        <w:rPr>
          <w:rFonts w:hint="eastAsia"/>
          <w:lang w:val="en-GB" w:eastAsia="zh-CN"/>
        </w:rPr>
        <w:t>B</w:t>
      </w:r>
      <w:r>
        <w:rPr>
          <w:lang w:val="en-GB" w:eastAsia="zh-CN"/>
        </w:rPr>
        <w:t xml:space="preserve">oth ways are workable to realize switching between dormancy and non-dormancy behaviour. However, BWP state switching requires more spec impact. First, two states or two sets of RRC configurations where each set of RRC configuration corresponds to one state have to be defined for the BWP, which may require both RAN1 and RAN2 spec impact. Second, a new L1 signalling has to be defined for the BWP state change, which requires mainly RAN1 spec impact. While as for the BWP switching to realize dormancy and non-dormancy behaviour switching, most of the RAN1 related configurations (e.g., PDCCH-Config) are BWP specific. RAN2 spec already supports different RRC configurations for “dormant BWP” and “active BWP”, thus no RAN2 spec impact is required from this perspective. Since the BWP switching mechanism has already specified in Rel-15, no RAN1 spec is required. Based on the above analysis, realizing dormancy and non-dormancy behaviour switching by BWP switching is preferred. </w:t>
      </w:r>
    </w:p>
    <w:p>
      <w:pPr>
        <w:rPr>
          <w:i/>
          <w:lang w:val="en-GB" w:eastAsia="zh-CN"/>
        </w:rPr>
      </w:pPr>
      <w:r>
        <w:rPr>
          <w:b/>
          <w:i/>
          <w:lang w:val="en-GB" w:eastAsia="zh-CN"/>
        </w:rPr>
        <w:t>Proposal 3</w:t>
      </w:r>
      <w:r>
        <w:rPr>
          <w:i/>
          <w:lang w:val="en-GB" w:eastAsia="zh-CN"/>
        </w:rPr>
        <w:t xml:space="preserve">: Reuse BWP switching mechanism to support switching between dormancy and non-dormancy behaviour. </w:t>
      </w:r>
    </w:p>
    <w:p>
      <w:pPr>
        <w:rPr>
          <w:b/>
          <w:u w:val="single"/>
          <w:lang w:val="en-GB" w:eastAsia="zh-CN"/>
        </w:rPr>
      </w:pPr>
      <w:r>
        <w:rPr>
          <w:rFonts w:hint="eastAsia"/>
          <w:b/>
          <w:u w:val="single"/>
          <w:lang w:val="en-GB" w:eastAsia="zh-CN"/>
        </w:rPr>
        <w:t>H</w:t>
      </w:r>
      <w:r>
        <w:rPr>
          <w:b/>
          <w:u w:val="single"/>
          <w:lang w:val="en-GB" w:eastAsia="zh-CN"/>
        </w:rPr>
        <w:t>ow to realize dormancy behaviour</w:t>
      </w:r>
    </w:p>
    <w:p>
      <w:pPr>
        <w:rPr>
          <w:lang w:val="en-GB" w:eastAsia="zh-CN"/>
        </w:rPr>
      </w:pPr>
      <w:r>
        <w:rPr>
          <w:lang w:val="en-GB" w:eastAsia="zh-CN"/>
        </w:rPr>
        <w:t xml:space="preserve">The next issue is the definition of dormancy behaviour. Although it is agreed that RAN2 will define dormancy behaviour under MR-DC/CA WI, we can still discuss preference in RAN1. According to the previous discussion in RAN1, at least PDCCH monitoring and CSI-RS configurations shall be different for dormancy and non-dormancy behaviour. One debate on PDCCH monitoring is whether to configure no or sparse PDCCH monitoring for dormancy behaviour. From our perspective, to facilitate the specification progress of fast SCell activation, the dormancy behaviour can be left to network implementation. If the network believes that sparse PDCCH monitoring is better, then sparse PDCCH monitoring is configured; otherwise, no PDCCH monitoring is configured. Moreover, leaving the dormancy behaviour to network implementation can greatly increase the network flexibility. </w:t>
      </w:r>
      <w:r>
        <w:rPr>
          <w:rFonts w:hint="eastAsia"/>
          <w:lang w:val="en-GB" w:eastAsia="zh-CN"/>
        </w:rPr>
        <w:t>I</w:t>
      </w:r>
      <w:r>
        <w:rPr>
          <w:lang w:val="en-GB" w:eastAsia="zh-CN"/>
        </w:rPr>
        <w:t xml:space="preserve">f BWP switching mechanism is reused to support switching between dormancy and non-dormancy behaviour, all the BWP configuration flexibility can be inherited for dormancy behaviour. From UE perspective, the dormancy behaviour is transparent since UE only needs to follow the network configuration no matter whether it is a dormancy behaviour or not. </w:t>
      </w:r>
    </w:p>
    <w:p>
      <w:pPr>
        <w:rPr>
          <w:i/>
          <w:lang w:val="en-GB" w:eastAsia="zh-CN"/>
        </w:rPr>
      </w:pPr>
      <w:r>
        <w:rPr>
          <w:rFonts w:hint="eastAsia"/>
          <w:b/>
          <w:i/>
          <w:lang w:val="en-GB" w:eastAsia="zh-CN"/>
        </w:rPr>
        <w:t>P</w:t>
      </w:r>
      <w:r>
        <w:rPr>
          <w:b/>
          <w:i/>
          <w:lang w:val="en-GB" w:eastAsia="zh-CN"/>
        </w:rPr>
        <w:t>roposal 4</w:t>
      </w:r>
      <w:r>
        <w:rPr>
          <w:i/>
          <w:lang w:val="en-GB" w:eastAsia="zh-CN"/>
        </w:rPr>
        <w:t>: The configuration of dormancy behaviour is left to network implementation. The dormancy behaviour is transparent to UE, i.e., UE only needs to follow the network configuration no matter whether it is dormancy behaviour or not.</w:t>
      </w:r>
    </w:p>
    <w:p>
      <w:pPr>
        <w:rPr>
          <w:b/>
          <w:u w:val="single"/>
          <w:lang w:val="en-GB" w:eastAsia="zh-CN"/>
        </w:rPr>
      </w:pPr>
      <w:r>
        <w:rPr>
          <w:b/>
          <w:u w:val="single"/>
          <w:lang w:val="en-GB" w:eastAsia="zh-CN"/>
        </w:rPr>
        <w:t>BWP inactivity timer for dormant BWP</w:t>
      </w:r>
    </w:p>
    <w:p>
      <w:pPr>
        <w:rPr>
          <w:lang w:val="en-GB" w:eastAsia="zh-CN"/>
        </w:rPr>
      </w:pPr>
      <w:r>
        <w:rPr>
          <w:rFonts w:hint="eastAsia"/>
          <w:lang w:val="en-GB" w:eastAsia="zh-CN"/>
        </w:rPr>
        <w:t>I</w:t>
      </w:r>
      <w:r>
        <w:rPr>
          <w:lang w:val="en-GB" w:eastAsia="zh-CN"/>
        </w:rPr>
        <w:t>n Rel-15, a similar BWP-based mechanism has been specified for power saving, i.e., default BWP. An inactivity timer is defined for default BWP. If the inactivity timer expires, UE switches its DL BWP to the default BWP for power saving. Network supports the flexibility of configuring the dormant BWP as the default BWP. If so, after the BWP inactivity expires, UE will switch to the dormant BWP for power saving. In fact, there is no necessity to define a new timer for dormant BWP given that BWP inactivity has already been specified for the same purpose.</w:t>
      </w:r>
    </w:p>
    <w:p>
      <w:pPr>
        <w:rPr>
          <w:i/>
          <w:lang w:val="en-GB" w:eastAsia="zh-CN"/>
        </w:rPr>
      </w:pPr>
      <w:r>
        <w:rPr>
          <w:rFonts w:hint="eastAsia"/>
          <w:b/>
          <w:i/>
          <w:lang w:val="en-GB" w:eastAsia="zh-CN"/>
        </w:rPr>
        <w:t>P</w:t>
      </w:r>
      <w:r>
        <w:rPr>
          <w:b/>
          <w:i/>
          <w:lang w:val="en-GB" w:eastAsia="zh-CN"/>
        </w:rPr>
        <w:t>roposal 5</w:t>
      </w:r>
      <w:r>
        <w:rPr>
          <w:i/>
          <w:lang w:val="en-GB" w:eastAsia="zh-CN"/>
        </w:rPr>
        <w:t>: Network supports the flexibility of configuring dormant BWP as the default BWP. If network configures the dormant BWP as the default BWP, UE switches back to the dormant BWP when the BWP inactivity timer expires.</w:t>
      </w:r>
    </w:p>
    <w:p>
      <w:pPr>
        <w:rPr>
          <w:b/>
          <w:u w:val="single"/>
          <w:lang w:val="en-GB" w:eastAsia="zh-CN"/>
        </w:rPr>
      </w:pPr>
      <w:r>
        <w:rPr>
          <w:b/>
          <w:u w:val="single"/>
          <w:lang w:val="en-GB" w:eastAsia="zh-CN"/>
        </w:rPr>
        <w:t>Lower requirement for supporting two BWPs</w:t>
      </w:r>
    </w:p>
    <w:p>
      <w:pPr>
        <w:rPr>
          <w:lang w:val="en-GB" w:eastAsia="zh-CN"/>
        </w:rPr>
      </w:pPr>
      <w:r>
        <w:rPr>
          <w:rFonts w:hint="eastAsia"/>
          <w:lang w:val="en-GB" w:eastAsia="zh-CN"/>
        </w:rPr>
        <w:t>S</w:t>
      </w:r>
      <w:r>
        <w:rPr>
          <w:lang w:val="en-GB" w:eastAsia="zh-CN"/>
        </w:rPr>
        <w:t xml:space="preserve">ome companies argued that BWP-switching based solution for dormancy and non-dormancy switching may not be applicable to UEs only supporting one dedicated BWP. However, from our understanding, most of the UEs already support two BWPs, BWP switching is not likely to be the bar for UEs with power saving needs. If UE vendors still have concern on supporting two BWPs, one new UE capability can be defined to lower the UE requirements of supporting two BWPs. For example, the two BWPs have the same RRC configurations except for PDCCH monitoring and CSI-RS configuration. The details can be left to UE capability discussion. </w:t>
      </w:r>
    </w:p>
    <w:p>
      <w:pPr>
        <w:rPr>
          <w:i/>
          <w:lang w:val="en-GB" w:eastAsia="zh-CN"/>
        </w:rPr>
      </w:pPr>
      <w:r>
        <w:rPr>
          <w:b/>
          <w:i/>
          <w:lang w:val="en-GB" w:eastAsia="zh-CN"/>
        </w:rPr>
        <w:t>Proposal 6</w:t>
      </w:r>
      <w:r>
        <w:rPr>
          <w:i/>
          <w:lang w:val="en-GB" w:eastAsia="zh-CN"/>
        </w:rPr>
        <w:t>: A new capability can be defined to lower the UE requirements of supporting two BWPs. E.g., the two BWPs have the same RRC configurations except for PDCCH monitoring and CSI-RS configuration.</w:t>
      </w:r>
    </w:p>
    <w:p>
      <w:pPr>
        <w:rPr>
          <w:b/>
          <w:u w:val="single"/>
          <w:lang w:val="en-GB" w:eastAsia="zh-CN"/>
        </w:rPr>
      </w:pPr>
      <w:r>
        <w:rPr>
          <w:rFonts w:hint="eastAsia"/>
          <w:b/>
          <w:u w:val="single"/>
          <w:lang w:val="en-GB" w:eastAsia="zh-CN"/>
        </w:rPr>
        <w:t>M</w:t>
      </w:r>
      <w:r>
        <w:rPr>
          <w:b/>
          <w:u w:val="single"/>
          <w:lang w:val="en-GB" w:eastAsia="zh-CN"/>
        </w:rPr>
        <w:t>echanism for switching from dormant BWP to normal BWP</w:t>
      </w:r>
    </w:p>
    <w:p>
      <w:pPr>
        <w:rPr>
          <w:lang w:val="en-GB" w:eastAsia="zh-CN"/>
        </w:rPr>
      </w:pPr>
      <w:r>
        <w:rPr>
          <w:rFonts w:hint="eastAsia"/>
          <w:lang w:val="en-GB" w:eastAsia="zh-CN"/>
        </w:rPr>
        <w:t>T</w:t>
      </w:r>
      <w:r>
        <w:rPr>
          <w:lang w:val="en-GB" w:eastAsia="zh-CN"/>
        </w:rPr>
        <w:t>he next issue is how to indicate the UE to switch from dormant BWP to normal BWP if there is no PDCCH monitoring in the dormant BWP. Currently, according to the Rel-15 spec, UEs supporting cross-carrier scheduling can already transmit a BWP switching DCI in the scheduling cell (e.g., PCell) to trigger a BWP switching in the SCell where there is no PDCCH monitoring. Thus, for UEs supporting cross-carrier scheduling, the Rel-15 cross-carrier scheduling mechanism can be used to switch from dormant BWP to normal BWP. More specifically, if network configures cross-carrier scheduling for one SCell, the CIF and BWP index in the cross-carrier scheduling DCI can be used to switch from dormant BWP to normal BWP in the SCell.</w:t>
      </w:r>
    </w:p>
    <w:p>
      <w:pPr>
        <w:rPr>
          <w:i/>
          <w:lang w:val="en-GB" w:eastAsia="zh-CN"/>
        </w:rPr>
      </w:pPr>
      <w:r>
        <w:rPr>
          <w:b/>
          <w:i/>
          <w:lang w:val="en-GB" w:eastAsia="zh-CN"/>
        </w:rPr>
        <w:t>Proposal 7</w:t>
      </w:r>
      <w:r>
        <w:rPr>
          <w:i/>
          <w:lang w:val="en-GB" w:eastAsia="zh-CN"/>
        </w:rPr>
        <w:t>: If network configures cross-carrier scheduling for a SCell, the CIF and BWP index in the cross-carrier scheduling DCI can be used to switch from dormant BWP to normal BWP in the SCell.</w:t>
      </w:r>
    </w:p>
    <w:p>
      <w:pPr>
        <w:rPr>
          <w:lang w:val="en-GB" w:eastAsia="zh-CN"/>
        </w:rPr>
      </w:pPr>
      <w:r>
        <w:rPr>
          <w:rFonts w:hint="eastAsia"/>
          <w:lang w:val="en-GB" w:eastAsia="zh-CN"/>
        </w:rPr>
        <w:t>I</w:t>
      </w:r>
      <w:r>
        <w:rPr>
          <w:lang w:val="en-GB" w:eastAsia="zh-CN"/>
        </w:rPr>
        <w:t xml:space="preserve">f network doesn’t configure cross-carrier scheduling for a SCell, a new L1 signalling can be defined to trigger BWP switching of the SCell. Due to bursty traffic load, network is likely to offload the traffic load to several cells in order to decrease transmission latency. From this perspective, switching a group of SCells from dormant BWP to normal BWP at the same time via one L1 signalling is a desired design from network perspective. Both Option 1a and Option 2 as listed in the Appendix can provide this group triggering. </w:t>
      </w:r>
    </w:p>
    <w:p>
      <w:pPr>
        <w:rPr>
          <w:lang w:val="en-GB" w:eastAsia="zh-CN"/>
        </w:rPr>
      </w:pPr>
      <w:r>
        <w:rPr>
          <w:lang w:val="en-GB" w:eastAsia="zh-CN"/>
        </w:rPr>
        <w:t xml:space="preserve">For Option 1a, a new dedicated DCI on PCell is adopted to indicate the BWP switching command for a group of SCells. One example is that one bit in the DCI corresponds to a group of SCells, bit filed “1” indicates to switch from dormant to normal BWP and bit field “0” indicates to keep on the current BWP. For Option 2, the current BWP switching mechanism (i.e., DCI-based and inactivity-based) is adopted to indicated the BWP change for a group of SCells configured by RRC configuration. Within these grouped SCells, BWP switching performs at the same time. If one of the SCell switches from dormant BWP to normal BWP, all the other SCells in the same group will perform the same switching. One example is that BWP-switching DCI in PCell indicates PCell to switch from BWP#0 to BWP#1, all the other SCells in the same group as PCell perform the same BWP switching. </w:t>
      </w:r>
    </w:p>
    <w:p>
      <w:pPr>
        <w:rPr>
          <w:lang w:val="en-GB" w:eastAsia="zh-CN"/>
        </w:rPr>
      </w:pPr>
      <w:r>
        <w:rPr>
          <w:lang w:val="en-GB" w:eastAsia="zh-CN"/>
        </w:rPr>
        <w:t>From our perspective, the new mechanism is mainly for switching from dormant BWP to normal BWP, but not for introducing new general BWP switching mechanism for all the other BWP switching cases. Thus, 1 bit for each SCell in the L1 signalling is sufficient. On the other hand, RAN1 spec supports configuring up to 16 Cells for each UE within one CG, 1 bit for each SCell in the L1 signalling also makes sense to reduce the DCI size.</w:t>
      </w:r>
    </w:p>
    <w:p>
      <w:pPr>
        <w:rPr>
          <w:i/>
          <w:lang w:val="en-GB" w:eastAsia="zh-CN"/>
        </w:rPr>
      </w:pPr>
      <w:r>
        <w:rPr>
          <w:rFonts w:hint="eastAsia"/>
          <w:b/>
          <w:i/>
          <w:lang w:val="en-GB" w:eastAsia="zh-CN"/>
        </w:rPr>
        <w:t>P</w:t>
      </w:r>
      <w:r>
        <w:rPr>
          <w:b/>
          <w:i/>
          <w:lang w:val="en-GB" w:eastAsia="zh-CN"/>
        </w:rPr>
        <w:t>roposal 8</w:t>
      </w:r>
      <w:r>
        <w:rPr>
          <w:i/>
          <w:lang w:val="en-GB" w:eastAsia="zh-CN"/>
        </w:rPr>
        <w:t xml:space="preserve">: RAN1 supports one L1 signalling triggering BWP switching from dormant BWP to normal BWP simultaneously for at least one group of SCells configured by RRC. Within the L1 signalling, 1 bit for each SCell group is sufficient. </w:t>
      </w:r>
    </w:p>
    <w:p>
      <w:pPr>
        <w:pStyle w:val="2"/>
        <w:rPr>
          <w:lang w:eastAsia="zh-CN"/>
        </w:rPr>
      </w:pPr>
      <w:r>
        <w:rPr>
          <w:rFonts w:hint="eastAsia"/>
          <w:lang w:eastAsia="zh-CN"/>
        </w:rPr>
        <w:t>C</w:t>
      </w:r>
      <w:r>
        <w:rPr>
          <w:lang w:eastAsia="zh-CN"/>
        </w:rPr>
        <w:t>onclusion</w:t>
      </w:r>
    </w:p>
    <w:p>
      <w:pPr>
        <w:rPr>
          <w:lang w:val="en-GB" w:eastAsia="zh-CN"/>
        </w:rPr>
      </w:pPr>
      <w:r>
        <w:rPr>
          <w:rFonts w:hint="eastAsia"/>
          <w:lang w:val="en-GB" w:eastAsia="zh-CN"/>
        </w:rPr>
        <w:t>T</w:t>
      </w:r>
      <w:r>
        <w:rPr>
          <w:lang w:val="en-GB" w:eastAsia="zh-CN"/>
        </w:rPr>
        <w:t>o sum up, the following proposals are presented in this contribution.</w:t>
      </w:r>
    </w:p>
    <w:p>
      <w:pPr>
        <w:rPr>
          <w:b/>
          <w:u w:val="single"/>
          <w:lang w:val="en-GB" w:eastAsia="zh-CN"/>
        </w:rPr>
      </w:pPr>
      <w:r>
        <w:rPr>
          <w:rFonts w:hint="eastAsia"/>
          <w:b/>
          <w:u w:val="single"/>
          <w:lang w:val="en-GB" w:eastAsia="zh-CN"/>
        </w:rPr>
        <w:t>F</w:t>
      </w:r>
      <w:r>
        <w:rPr>
          <w:b/>
          <w:u w:val="single"/>
          <w:lang w:val="en-GB" w:eastAsia="zh-CN"/>
        </w:rPr>
        <w:t>or temporary RS</w:t>
      </w:r>
    </w:p>
    <w:p>
      <w:pPr>
        <w:rPr>
          <w:i/>
          <w:lang w:val="en-GB" w:eastAsia="zh-CN"/>
        </w:rPr>
      </w:pPr>
      <w:r>
        <w:rPr>
          <w:b/>
          <w:i/>
          <w:lang w:val="en-GB" w:eastAsia="zh-CN"/>
        </w:rPr>
        <w:t>Proposal 1</w:t>
      </w:r>
      <w:r>
        <w:rPr>
          <w:i/>
          <w:lang w:val="en-GB" w:eastAsia="zh-CN"/>
        </w:rPr>
        <w:t>: Support both temporary RS and dormancy behaviour for fast SCell activation.</w:t>
      </w:r>
    </w:p>
    <w:p>
      <w:pPr>
        <w:rPr>
          <w:i/>
          <w:lang w:val="en-GB" w:eastAsia="zh-CN"/>
        </w:rPr>
      </w:pPr>
      <w:r>
        <w:rPr>
          <w:b/>
          <w:i/>
          <w:lang w:val="en-GB" w:eastAsia="zh-CN"/>
        </w:rPr>
        <w:t>Proposal 2</w:t>
      </w:r>
      <w:r>
        <w:rPr>
          <w:i/>
          <w:lang w:val="en-GB" w:eastAsia="zh-CN"/>
        </w:rPr>
        <w:t>: For temporary RS, NW can send activation command MAC CE and also independently use existing signalling to trigger aperiodic/semi-persistent CSI-RS when sending the activation command (Option 1). Network transmits the temporary RS triggering command to UE before K1+3ms and transmits the triggered temporary RS to UE later than K1+3ms.</w:t>
      </w:r>
    </w:p>
    <w:p>
      <w:pPr>
        <w:rPr>
          <w:lang w:val="en-GB" w:eastAsia="zh-CN"/>
        </w:rPr>
      </w:pPr>
      <w:bookmarkStart w:id="7" w:name="_GoBack"/>
      <w:bookmarkEnd w:id="7"/>
    </w:p>
    <w:p>
      <w:pPr>
        <w:rPr>
          <w:b/>
          <w:u w:val="single"/>
          <w:lang w:val="en-GB" w:eastAsia="zh-CN"/>
        </w:rPr>
      </w:pPr>
      <w:r>
        <w:rPr>
          <w:b/>
          <w:u w:val="single"/>
          <w:lang w:val="en-GB" w:eastAsia="zh-CN"/>
        </w:rPr>
        <w:t>For dormancy behaviour</w:t>
      </w:r>
    </w:p>
    <w:p>
      <w:pPr>
        <w:rPr>
          <w:i/>
          <w:lang w:val="en-GB" w:eastAsia="zh-CN"/>
        </w:rPr>
      </w:pPr>
      <w:r>
        <w:rPr>
          <w:b/>
          <w:i/>
          <w:lang w:val="en-GB" w:eastAsia="zh-CN"/>
        </w:rPr>
        <w:t>Proposal 3</w:t>
      </w:r>
      <w:r>
        <w:rPr>
          <w:i/>
          <w:lang w:val="en-GB" w:eastAsia="zh-CN"/>
        </w:rPr>
        <w:t xml:space="preserve">: Reuse BWP switching mechanism to support switching between dormancy and non-dormancy behaviour. </w:t>
      </w:r>
    </w:p>
    <w:p>
      <w:pPr>
        <w:rPr>
          <w:i/>
          <w:lang w:val="en-GB" w:eastAsia="zh-CN"/>
        </w:rPr>
      </w:pPr>
      <w:r>
        <w:rPr>
          <w:rFonts w:hint="eastAsia"/>
          <w:b/>
          <w:i/>
          <w:lang w:val="en-GB" w:eastAsia="zh-CN"/>
        </w:rPr>
        <w:t>P</w:t>
      </w:r>
      <w:r>
        <w:rPr>
          <w:b/>
          <w:i/>
          <w:lang w:val="en-GB" w:eastAsia="zh-CN"/>
        </w:rPr>
        <w:t>roposal 4</w:t>
      </w:r>
      <w:r>
        <w:rPr>
          <w:i/>
          <w:lang w:val="en-GB" w:eastAsia="zh-CN"/>
        </w:rPr>
        <w:t>: The configuration of dormancy behaviour is left to network implementation. The dormancy behaviour is transparent to UE, i.e., UE only needs to follow the network configuration no matter whether it is dormancy behaviour or not.</w:t>
      </w:r>
    </w:p>
    <w:p>
      <w:pPr>
        <w:rPr>
          <w:i/>
          <w:lang w:val="en-GB" w:eastAsia="zh-CN"/>
        </w:rPr>
      </w:pPr>
      <w:r>
        <w:rPr>
          <w:rFonts w:hint="eastAsia"/>
          <w:b/>
          <w:i/>
          <w:lang w:val="en-GB" w:eastAsia="zh-CN"/>
        </w:rPr>
        <w:t>P</w:t>
      </w:r>
      <w:r>
        <w:rPr>
          <w:b/>
          <w:i/>
          <w:lang w:val="en-GB" w:eastAsia="zh-CN"/>
        </w:rPr>
        <w:t>roposal 5</w:t>
      </w:r>
      <w:r>
        <w:rPr>
          <w:i/>
          <w:lang w:val="en-GB" w:eastAsia="zh-CN"/>
        </w:rPr>
        <w:t>: Network supports the flexibility of configuring dormant BWP as the default BWP. If network configures the dormant BWP as the default BWP, UE switches back to the dormant BWP when the BWP inactivity timer expires.</w:t>
      </w:r>
    </w:p>
    <w:p>
      <w:pPr>
        <w:rPr>
          <w:i/>
          <w:lang w:val="en-GB" w:eastAsia="zh-CN"/>
        </w:rPr>
      </w:pPr>
      <w:r>
        <w:rPr>
          <w:b/>
          <w:i/>
          <w:lang w:val="en-GB" w:eastAsia="zh-CN"/>
        </w:rPr>
        <w:t>Proposal 6</w:t>
      </w:r>
      <w:r>
        <w:rPr>
          <w:i/>
          <w:lang w:val="en-GB" w:eastAsia="zh-CN"/>
        </w:rPr>
        <w:t>: A new capability can be defined to lower the UE requirements of supporting two BWPs. E.g., the two BWPs have the same RRC configurations except for PDCCH monitoring and CSI-RS configuration.</w:t>
      </w:r>
    </w:p>
    <w:p>
      <w:pPr>
        <w:rPr>
          <w:i/>
          <w:lang w:val="en-GB" w:eastAsia="zh-CN"/>
        </w:rPr>
      </w:pPr>
      <w:r>
        <w:rPr>
          <w:b/>
          <w:i/>
          <w:lang w:val="en-GB" w:eastAsia="zh-CN"/>
        </w:rPr>
        <w:t>Proposal 7</w:t>
      </w:r>
      <w:r>
        <w:rPr>
          <w:i/>
          <w:lang w:val="en-GB" w:eastAsia="zh-CN"/>
        </w:rPr>
        <w:t>: If network configures cross-carrier scheduling for a SCell, the CIF and BWP index in the cross-carrier scheduling DCI can be used to switch from dormant BWP to normal BWP in the SCell.</w:t>
      </w:r>
    </w:p>
    <w:p>
      <w:pPr>
        <w:rPr>
          <w:i/>
          <w:lang w:val="en-GB" w:eastAsia="zh-CN"/>
        </w:rPr>
      </w:pPr>
      <w:r>
        <w:rPr>
          <w:rFonts w:hint="eastAsia"/>
          <w:b/>
          <w:i/>
          <w:lang w:val="en-GB" w:eastAsia="zh-CN"/>
        </w:rPr>
        <w:t>P</w:t>
      </w:r>
      <w:r>
        <w:rPr>
          <w:b/>
          <w:i/>
          <w:lang w:val="en-GB" w:eastAsia="zh-CN"/>
        </w:rPr>
        <w:t>roposal 8</w:t>
      </w:r>
      <w:r>
        <w:rPr>
          <w:i/>
          <w:lang w:val="en-GB" w:eastAsia="zh-CN"/>
        </w:rPr>
        <w:t xml:space="preserve">: RAN1 supports one L1 signalling triggering BWP switching from dormant BWP to normal BWP simultaneously for at least one group of SCells configured by RRC. Within the L1 signalling, 1 bit for each SCell group is sufficient. </w:t>
      </w:r>
    </w:p>
    <w:p>
      <w:pPr>
        <w:pStyle w:val="2"/>
        <w:rPr>
          <w:lang w:eastAsia="zh-CN"/>
        </w:rPr>
      </w:pPr>
      <w:r>
        <w:rPr>
          <w:rFonts w:hint="eastAsia"/>
          <w:lang w:eastAsia="zh-CN"/>
        </w:rPr>
        <w:t>R</w:t>
      </w:r>
      <w:r>
        <w:rPr>
          <w:lang w:eastAsia="zh-CN"/>
        </w:rPr>
        <w:t>eference</w:t>
      </w:r>
    </w:p>
    <w:p>
      <w:pPr>
        <w:pStyle w:val="126"/>
        <w:rPr>
          <w:lang w:eastAsia="zh-CN"/>
        </w:rPr>
      </w:pPr>
      <w:bookmarkStart w:id="4" w:name="_Ref7030886"/>
      <w:bookmarkStart w:id="5" w:name="_Ref20986049"/>
      <w:r>
        <w:rPr>
          <w:lang w:eastAsia="zh-CN"/>
        </w:rPr>
        <w:t>RP-192326</w:t>
      </w:r>
      <w:bookmarkEnd w:id="4"/>
      <w:r>
        <w:rPr>
          <w:lang w:eastAsia="zh-CN"/>
        </w:rPr>
        <w:t>, Clarifying RAN1 scope for combining dormancy and power saving, RAN#85, 2019-09.</w:t>
      </w:r>
      <w:bookmarkEnd w:id="5"/>
    </w:p>
    <w:p>
      <w:pPr>
        <w:pStyle w:val="126"/>
        <w:rPr>
          <w:lang w:eastAsia="zh-CN"/>
        </w:rPr>
      </w:pPr>
      <w:bookmarkStart w:id="6" w:name="_Ref20986105"/>
      <w:r>
        <w:rPr>
          <w:lang w:eastAsia="zh-CN"/>
        </w:rPr>
        <w:t>R1-1908244, Discussion on low latency SCell activation, RAN1#98, 2019-08.</w:t>
      </w:r>
      <w:bookmarkEnd w:id="6"/>
    </w:p>
    <w:p>
      <w:pPr>
        <w:pStyle w:val="126"/>
        <w:numPr>
          <w:ilvl w:val="0"/>
          <w:numId w:val="0"/>
        </w:numPr>
        <w:ind w:left="360" w:hanging="360"/>
        <w:rPr>
          <w:lang w:eastAsia="zh-CN"/>
        </w:rPr>
      </w:pPr>
    </w:p>
    <w:p>
      <w:pPr>
        <w:pStyle w:val="2"/>
        <w:rPr>
          <w:lang w:eastAsia="zh-CN"/>
        </w:rPr>
      </w:pPr>
      <w:r>
        <w:rPr>
          <w:lang w:eastAsia="zh-CN"/>
        </w:rPr>
        <w:t>Appendix</w:t>
      </w:r>
    </w:p>
    <w:p>
      <w:pPr>
        <w:spacing w:line="252" w:lineRule="auto"/>
        <w:ind w:left="360" w:hanging="360"/>
        <w:rPr>
          <w:rFonts w:ascii="Calibri" w:hAnsi="Calibri"/>
          <w:b/>
          <w:bCs/>
          <w:sz w:val="22"/>
          <w:szCs w:val="22"/>
          <w:u w:val="single"/>
          <w:lang w:val="fi-FI"/>
        </w:rPr>
      </w:pPr>
      <w:r>
        <w:rPr>
          <w:b/>
          <w:bCs/>
          <w:u w:val="single"/>
          <w:lang w:val="fi-FI"/>
        </w:rPr>
        <w:t>Option 1</w:t>
      </w:r>
    </w:p>
    <w:p>
      <w:pPr>
        <w:numPr>
          <w:ilvl w:val="1"/>
          <w:numId w:val="11"/>
        </w:numPr>
        <w:overflowPunct/>
        <w:autoSpaceDE/>
        <w:autoSpaceDN/>
        <w:adjustRightInd/>
        <w:spacing w:after="0" w:line="252" w:lineRule="auto"/>
        <w:jc w:val="left"/>
        <w:textAlignment w:val="auto"/>
      </w:pPr>
      <w:r>
        <w:t>Introduce dedicated DCI on Pcell (or cell x) for transitioning between ‘dormancy-like’ and ‘non dormancy-like’ behavior on activated Scell(s) (or Scell(s) other than cell x)</w:t>
      </w:r>
    </w:p>
    <w:p>
      <w:pPr>
        <w:numPr>
          <w:ilvl w:val="1"/>
          <w:numId w:val="11"/>
        </w:numPr>
        <w:overflowPunct/>
        <w:autoSpaceDE/>
        <w:autoSpaceDN/>
        <w:adjustRightInd/>
        <w:spacing w:after="0" w:line="252" w:lineRule="auto"/>
        <w:jc w:val="left"/>
        <w:textAlignment w:val="auto"/>
      </w:pPr>
      <w:r>
        <w:t>For case when Scell is configured with multiple BWPs</w:t>
      </w:r>
    </w:p>
    <w:p>
      <w:pPr>
        <w:spacing w:after="0" w:line="252" w:lineRule="auto"/>
        <w:ind w:left="2160" w:hanging="180"/>
      </w:pPr>
      <w:r>
        <w:t>i.</w:t>
      </w:r>
      <w:r>
        <w:rPr>
          <w:sz w:val="14"/>
          <w:szCs w:val="14"/>
        </w:rPr>
        <w:t xml:space="preserve">      </w:t>
      </w:r>
      <w:r>
        <w:t>Alt1: DCI indicates the BWP to be used on the Scell (FFS 1 or 2 bits per Scell)</w:t>
      </w:r>
    </w:p>
    <w:p>
      <w:pPr>
        <w:spacing w:after="0" w:line="252" w:lineRule="auto"/>
        <w:ind w:left="2160" w:hanging="180"/>
      </w:pPr>
      <w:r>
        <w:t>ii.</w:t>
      </w:r>
      <w:r>
        <w:rPr>
          <w:sz w:val="14"/>
          <w:szCs w:val="14"/>
        </w:rPr>
        <w:t xml:space="preserve">      </w:t>
      </w:r>
      <w:r>
        <w:t>Alt2: DCI indicates whether to monitor/not monitor PDCCH on current active BWP of the Scell (1 bit per Scell)</w:t>
      </w:r>
    </w:p>
    <w:p>
      <w:pPr>
        <w:spacing w:after="0" w:line="252" w:lineRule="auto"/>
        <w:ind w:left="2160"/>
        <w:rPr>
          <w:color w:val="4472C4"/>
        </w:rPr>
      </w:pPr>
      <w:r>
        <w:rPr>
          <w:color w:val="4472C4"/>
        </w:rPr>
        <w:t>Note: It is also possible that the dedicated DCI is used to support both Alt. 1 and Alt. 2</w:t>
      </w:r>
    </w:p>
    <w:p>
      <w:pPr>
        <w:numPr>
          <w:ilvl w:val="1"/>
          <w:numId w:val="12"/>
        </w:numPr>
        <w:overflowPunct/>
        <w:autoSpaceDE/>
        <w:autoSpaceDN/>
        <w:adjustRightInd/>
        <w:spacing w:after="0" w:line="252" w:lineRule="auto"/>
        <w:jc w:val="left"/>
        <w:textAlignment w:val="auto"/>
      </w:pPr>
      <w:r>
        <w:t>For case when Scell is configured with 1 BWP</w:t>
      </w:r>
    </w:p>
    <w:p>
      <w:pPr>
        <w:spacing w:after="0" w:line="252" w:lineRule="auto"/>
        <w:ind w:left="2160" w:hanging="180"/>
      </w:pPr>
      <w:r>
        <w:t>i.</w:t>
      </w:r>
      <w:r>
        <w:rPr>
          <w:sz w:val="14"/>
          <w:szCs w:val="14"/>
        </w:rPr>
        <w:t xml:space="preserve">      </w:t>
      </w:r>
      <w:r>
        <w:rPr>
          <w:color w:val="4472C4"/>
        </w:rPr>
        <w:t xml:space="preserve">Alt1: </w:t>
      </w:r>
      <w:r>
        <w:t>DCI indicates whether to monitor/not monitor PDCCH on the Scell (1 bit per Scell)</w:t>
      </w:r>
    </w:p>
    <w:p>
      <w:pPr>
        <w:spacing w:after="0" w:line="252" w:lineRule="auto"/>
        <w:ind w:left="2160" w:hanging="180"/>
        <w:rPr>
          <w:color w:val="4472C4"/>
        </w:rPr>
      </w:pPr>
      <w:r>
        <w:rPr>
          <w:color w:val="4472C4"/>
        </w:rPr>
        <w:t>ii.</w:t>
      </w:r>
      <w:r>
        <w:rPr>
          <w:color w:val="4472C4"/>
          <w:sz w:val="14"/>
          <w:szCs w:val="14"/>
        </w:rPr>
        <w:t xml:space="preserve">      </w:t>
      </w:r>
      <w:r>
        <w:rPr>
          <w:color w:val="4472C4"/>
        </w:rPr>
        <w:t>Alt2: DCI indicates switching between sparse PDCCH monitoring and frequent PDCCH monitoring (1bit per Scell)</w:t>
      </w:r>
    </w:p>
    <w:p>
      <w:pPr>
        <w:numPr>
          <w:ilvl w:val="1"/>
          <w:numId w:val="13"/>
        </w:numPr>
        <w:overflowPunct/>
        <w:autoSpaceDE/>
        <w:autoSpaceDN/>
        <w:adjustRightInd/>
        <w:spacing w:after="0" w:line="252" w:lineRule="auto"/>
        <w:jc w:val="left"/>
        <w:textAlignment w:val="auto"/>
      </w:pPr>
      <w:r>
        <w:t>DCI is applicable for case when UE is not configured with CIF (i.e., no cross-carrier scheduling)</w:t>
      </w:r>
    </w:p>
    <w:p>
      <w:pPr>
        <w:spacing w:after="0" w:line="252" w:lineRule="auto"/>
        <w:ind w:left="2160" w:hanging="180"/>
      </w:pPr>
      <w:r>
        <w:t>i.</w:t>
      </w:r>
      <w:r>
        <w:rPr>
          <w:sz w:val="14"/>
          <w:szCs w:val="14"/>
        </w:rPr>
        <w:t xml:space="preserve">      </w:t>
      </w:r>
      <w:r>
        <w:t>FFS for cross-carrier scheduling case</w:t>
      </w:r>
    </w:p>
    <w:p>
      <w:pPr>
        <w:numPr>
          <w:ilvl w:val="1"/>
          <w:numId w:val="14"/>
        </w:numPr>
        <w:overflowPunct/>
        <w:autoSpaceDE/>
        <w:autoSpaceDN/>
        <w:adjustRightInd/>
        <w:spacing w:after="0" w:line="252" w:lineRule="auto"/>
        <w:jc w:val="left"/>
        <w:textAlignment w:val="auto"/>
      </w:pPr>
      <w:r>
        <w:t>DCI details</w:t>
      </w:r>
    </w:p>
    <w:p>
      <w:pPr>
        <w:spacing w:after="0" w:line="252" w:lineRule="auto"/>
        <w:ind w:left="2160" w:hanging="180"/>
      </w:pPr>
      <w:r>
        <w:t>i.</w:t>
      </w:r>
      <w:r>
        <w:rPr>
          <w:sz w:val="14"/>
          <w:szCs w:val="14"/>
        </w:rPr>
        <w:t xml:space="preserve">      </w:t>
      </w:r>
      <w:r>
        <w:t xml:space="preserve">At least </w:t>
      </w:r>
      <w:r>
        <w:rPr>
          <w:color w:val="FF0000"/>
          <w:u w:val="single"/>
        </w:rPr>
        <w:t>[</w:t>
      </w:r>
      <w:r>
        <w:t>15</w:t>
      </w:r>
      <w:r>
        <w:rPr>
          <w:color w:val="FF0000"/>
          <w:u w:val="single"/>
        </w:rPr>
        <w:t>]</w:t>
      </w:r>
      <w:r>
        <w:t xml:space="preserve"> DCI bits (i.e., 1 bit per Scell)</w:t>
      </w:r>
    </w:p>
    <w:p>
      <w:pPr>
        <w:spacing w:after="0" w:line="252" w:lineRule="auto"/>
        <w:ind w:left="2160" w:hanging="180"/>
      </w:pPr>
      <w:r>
        <w:t>ii.</w:t>
      </w:r>
      <w:r>
        <w:rPr>
          <w:sz w:val="14"/>
          <w:szCs w:val="14"/>
        </w:rPr>
        <w:t xml:space="preserve">      </w:t>
      </w:r>
      <w:r>
        <w:t>Monitored along with other scheduling DCI</w:t>
      </w:r>
    </w:p>
    <w:p>
      <w:pPr>
        <w:spacing w:after="0" w:line="252" w:lineRule="auto"/>
        <w:ind w:left="2160" w:hanging="180"/>
      </w:pPr>
      <w:r>
        <w:t>iii.</w:t>
      </w:r>
      <w:r>
        <w:rPr>
          <w:sz w:val="14"/>
          <w:szCs w:val="14"/>
        </w:rPr>
        <w:t xml:space="preserve">      </w:t>
      </w:r>
      <w:r>
        <w:t>No extra BDs for monitoring this DCI</w:t>
      </w:r>
    </w:p>
    <w:p>
      <w:pPr>
        <w:numPr>
          <w:ilvl w:val="3"/>
          <w:numId w:val="15"/>
        </w:numPr>
        <w:overflowPunct/>
        <w:autoSpaceDE/>
        <w:autoSpaceDN/>
        <w:adjustRightInd/>
        <w:spacing w:after="0" w:line="252" w:lineRule="auto"/>
        <w:jc w:val="left"/>
        <w:textAlignment w:val="auto"/>
      </w:pPr>
      <w:r>
        <w:t>Alt 1: DCI CRC scrambled with C-RNTI but some fields reserved in one of DCI 0-0/0-1/1-0/1-1, and other fields used for triggering the dormancy behavior</w:t>
      </w:r>
    </w:p>
    <w:p>
      <w:pPr>
        <w:numPr>
          <w:ilvl w:val="3"/>
          <w:numId w:val="15"/>
        </w:numPr>
        <w:overflowPunct/>
        <w:autoSpaceDE/>
        <w:autoSpaceDN/>
        <w:adjustRightInd/>
        <w:spacing w:after="0" w:line="252" w:lineRule="auto"/>
        <w:jc w:val="left"/>
        <w:textAlignment w:val="auto"/>
      </w:pPr>
      <w:r>
        <w:t>Alt 2: DCI CRC scrambled by another RNTI (i.e., similar to SPS PDCCH release)</w:t>
      </w:r>
    </w:p>
    <w:p>
      <w:pPr>
        <w:numPr>
          <w:ilvl w:val="3"/>
          <w:numId w:val="15"/>
        </w:numPr>
        <w:overflowPunct/>
        <w:autoSpaceDE/>
        <w:autoSpaceDN/>
        <w:adjustRightInd/>
        <w:spacing w:after="0" w:line="252" w:lineRule="auto"/>
        <w:jc w:val="left"/>
        <w:textAlignment w:val="auto"/>
      </w:pPr>
      <w:r>
        <w:t>Other alternatives not precluded (e.g. monitored in CSS with size similar to DCI 2-x)</w:t>
      </w:r>
    </w:p>
    <w:p>
      <w:pPr>
        <w:numPr>
          <w:ilvl w:val="1"/>
          <w:numId w:val="15"/>
        </w:numPr>
        <w:overflowPunct/>
        <w:autoSpaceDE/>
        <w:autoSpaceDN/>
        <w:adjustRightInd/>
        <w:spacing w:after="0" w:line="252" w:lineRule="auto"/>
        <w:jc w:val="left"/>
        <w:textAlignment w:val="auto"/>
      </w:pPr>
      <w:r>
        <w:t>Application delay</w:t>
      </w:r>
    </w:p>
    <w:p>
      <w:pPr>
        <w:spacing w:after="0" w:line="252" w:lineRule="auto"/>
        <w:ind w:left="2160" w:hanging="180"/>
        <w:rPr>
          <w:strike/>
        </w:rPr>
      </w:pPr>
      <w:r>
        <w:rPr>
          <w:strike/>
          <w:sz w:val="14"/>
          <w:szCs w:val="14"/>
        </w:rPr>
        <w:t xml:space="preserve"> </w:t>
      </w:r>
      <w:r>
        <w:rPr>
          <w:strike/>
        </w:rPr>
        <w:t>i.</w:t>
      </w:r>
      <w:r>
        <w:rPr>
          <w:strike/>
          <w:sz w:val="14"/>
          <w:szCs w:val="14"/>
        </w:rPr>
        <w:t xml:space="preserve">      </w:t>
      </w:r>
      <w:r>
        <w:rPr>
          <w:strike/>
        </w:rPr>
        <w:t xml:space="preserve">&lt;= BWP switching delay; </w:t>
      </w:r>
      <w:r>
        <w:rPr>
          <w:color w:val="4472C4"/>
        </w:rPr>
        <w:t>BWP switching delay is starting point</w:t>
      </w:r>
    </w:p>
    <w:p>
      <w:pPr>
        <w:spacing w:after="0"/>
        <w:ind w:left="1716" w:firstLine="264"/>
        <w:rPr>
          <w:color w:val="4472C4"/>
        </w:rPr>
      </w:pPr>
      <w:r>
        <w:rPr>
          <w:color w:val="4472C4"/>
        </w:rPr>
        <w:t>ii.</w:t>
      </w:r>
      <w:r>
        <w:rPr>
          <w:color w:val="4472C4"/>
          <w:sz w:val="14"/>
          <w:szCs w:val="14"/>
        </w:rPr>
        <w:t xml:space="preserve">      </w:t>
      </w:r>
      <w:r>
        <w:rPr>
          <w:color w:val="4472C4"/>
        </w:rPr>
        <w:t xml:space="preserve">FFS: if RF switching is applied for inter-band CA, and impact on application delay </w:t>
      </w:r>
    </w:p>
    <w:p>
      <w:pPr>
        <w:numPr>
          <w:ilvl w:val="1"/>
          <w:numId w:val="16"/>
        </w:numPr>
        <w:overflowPunct/>
        <w:autoSpaceDE/>
        <w:autoSpaceDN/>
        <w:adjustRightInd/>
        <w:spacing w:after="0" w:line="252" w:lineRule="auto"/>
        <w:jc w:val="left"/>
        <w:textAlignment w:val="auto"/>
      </w:pPr>
      <w:r>
        <w:t xml:space="preserve">The dedicated DCI is not expected to be used for data scheduling </w:t>
      </w:r>
    </w:p>
    <w:p>
      <w:pPr>
        <w:numPr>
          <w:ilvl w:val="1"/>
          <w:numId w:val="16"/>
        </w:numPr>
        <w:overflowPunct/>
        <w:autoSpaceDE/>
        <w:autoSpaceDN/>
        <w:adjustRightInd/>
        <w:spacing w:after="0" w:line="252" w:lineRule="auto"/>
        <w:jc w:val="left"/>
        <w:textAlignment w:val="auto"/>
      </w:pPr>
      <w:r>
        <w:t xml:space="preserve">FFS: If ACK should be transmitted in response to receiving the DCI (e.g. like SPS release PDCCH) </w:t>
      </w:r>
    </w:p>
    <w:p>
      <w:pPr>
        <w:spacing w:after="0" w:line="252" w:lineRule="auto"/>
        <w:ind w:left="1440"/>
      </w:pPr>
    </w:p>
    <w:p>
      <w:pPr>
        <w:spacing w:after="0" w:line="252" w:lineRule="auto"/>
        <w:ind w:left="1080"/>
      </w:pPr>
    </w:p>
    <w:p>
      <w:pPr>
        <w:spacing w:after="0" w:line="252" w:lineRule="auto"/>
        <w:ind w:left="360" w:hanging="360"/>
        <w:rPr>
          <w:b/>
          <w:bCs/>
          <w:u w:val="single"/>
          <w:lang w:val="fi-FI"/>
        </w:rPr>
      </w:pPr>
      <w:r>
        <w:rPr>
          <w:rFonts w:ascii="Courier New" w:hAnsi="Courier New" w:cs="Courier New"/>
          <w:lang w:val="fi-FI"/>
        </w:rPr>
        <w:t>o</w:t>
      </w:r>
      <w:r>
        <w:rPr>
          <w:sz w:val="14"/>
          <w:szCs w:val="14"/>
          <w:lang w:val="fi-FI"/>
        </w:rPr>
        <w:t xml:space="preserve">    </w:t>
      </w:r>
      <w:r>
        <w:rPr>
          <w:b/>
          <w:bCs/>
          <w:u w:val="single"/>
          <w:lang w:val="fi-FI"/>
        </w:rPr>
        <w:t>Option 2</w:t>
      </w:r>
    </w:p>
    <w:p>
      <w:pPr>
        <w:numPr>
          <w:ilvl w:val="1"/>
          <w:numId w:val="17"/>
        </w:numPr>
        <w:overflowPunct/>
        <w:autoSpaceDE/>
        <w:autoSpaceDN/>
        <w:adjustRightInd/>
        <w:spacing w:after="0" w:line="252" w:lineRule="auto"/>
        <w:jc w:val="left"/>
        <w:textAlignment w:val="auto"/>
      </w:pPr>
      <w:r>
        <w:t>Introduce new RRC signaling which allows to use the existing Bandwidth part indicator field in DCI of cell x</w:t>
      </w:r>
      <w:r>
        <w:rPr>
          <w:color w:val="4472C4"/>
        </w:rPr>
        <w:t xml:space="preserve">/BWP timer expiration </w:t>
      </w:r>
      <w:r>
        <w:t xml:space="preserve">to indicate the BWP used for cell x and also cell(s) other than cell x </w:t>
      </w:r>
    </w:p>
    <w:p>
      <w:pPr>
        <w:numPr>
          <w:ilvl w:val="1"/>
          <w:numId w:val="17"/>
        </w:numPr>
        <w:overflowPunct/>
        <w:autoSpaceDE/>
        <w:autoSpaceDN/>
        <w:adjustRightInd/>
        <w:spacing w:after="0" w:line="252" w:lineRule="auto"/>
        <w:jc w:val="left"/>
        <w:textAlignment w:val="auto"/>
      </w:pPr>
      <w:r>
        <w:t xml:space="preserve">For case when UE is configured with 1 BWP on cell x or on cell(s) other than cell x </w:t>
      </w:r>
    </w:p>
    <w:p>
      <w:pPr>
        <w:spacing w:after="0" w:line="252" w:lineRule="auto"/>
        <w:ind w:left="2160" w:hanging="180"/>
      </w:pPr>
      <w:r>
        <w:rPr>
          <w:sz w:val="14"/>
          <w:szCs w:val="14"/>
        </w:rPr>
        <w:t xml:space="preserve"> </w:t>
      </w:r>
      <w:r>
        <w:t>i.</w:t>
      </w:r>
      <w:r>
        <w:rPr>
          <w:sz w:val="14"/>
          <w:szCs w:val="14"/>
        </w:rPr>
        <w:t xml:space="preserve">      </w:t>
      </w:r>
      <w:r>
        <w:rPr>
          <w:color w:val="4472C4"/>
        </w:rPr>
        <w:t xml:space="preserve">Alt1: </w:t>
      </w:r>
      <w:r>
        <w:t>Rel15 behaviour is applied (i.e., no CA enhancement for this case)</w:t>
      </w:r>
    </w:p>
    <w:p>
      <w:pPr>
        <w:spacing w:after="0" w:line="252" w:lineRule="auto"/>
        <w:ind w:left="2160"/>
        <w:rPr>
          <w:color w:val="4472C4"/>
        </w:rPr>
      </w:pPr>
      <w:r>
        <w:rPr>
          <w:color w:val="4472C4"/>
        </w:rPr>
        <w:t>Note: other alternatives not precluded</w:t>
      </w:r>
    </w:p>
    <w:p>
      <w:pPr>
        <w:numPr>
          <w:ilvl w:val="1"/>
          <w:numId w:val="18"/>
        </w:numPr>
        <w:overflowPunct/>
        <w:autoSpaceDE/>
        <w:autoSpaceDN/>
        <w:adjustRightInd/>
        <w:spacing w:after="0" w:line="252" w:lineRule="auto"/>
        <w:jc w:val="left"/>
        <w:textAlignment w:val="auto"/>
      </w:pPr>
      <w:r>
        <w:t xml:space="preserve">For case when UE is configured with multiple BWPs on cell x or on cell(s) other than cell x </w:t>
      </w:r>
    </w:p>
    <w:p>
      <w:pPr>
        <w:spacing w:after="0" w:line="252" w:lineRule="auto"/>
        <w:ind w:left="2160" w:hanging="180"/>
      </w:pPr>
      <w:r>
        <w:t>i.</w:t>
      </w:r>
      <w:r>
        <w:rPr>
          <w:sz w:val="14"/>
          <w:szCs w:val="14"/>
        </w:rPr>
        <w:t xml:space="preserve">      </w:t>
      </w:r>
      <w:r>
        <w:t>RRC signalling for case when UE is not configured with cross-carrier scheduling</w:t>
      </w:r>
    </w:p>
    <w:p>
      <w:pPr>
        <w:numPr>
          <w:ilvl w:val="3"/>
          <w:numId w:val="19"/>
        </w:numPr>
        <w:overflowPunct/>
        <w:autoSpaceDE/>
        <w:autoSpaceDN/>
        <w:adjustRightInd/>
        <w:spacing w:after="0" w:line="252" w:lineRule="auto"/>
        <w:jc w:val="left"/>
        <w:textAlignment w:val="auto"/>
      </w:pPr>
      <w:r>
        <w:t>Details FFS</w:t>
      </w:r>
    </w:p>
    <w:p>
      <w:pPr>
        <w:spacing w:after="0" w:line="252" w:lineRule="auto"/>
        <w:ind w:left="2160" w:hanging="180"/>
      </w:pPr>
      <w:r>
        <w:t>ii.</w:t>
      </w:r>
      <w:r>
        <w:rPr>
          <w:sz w:val="14"/>
          <w:szCs w:val="14"/>
        </w:rPr>
        <w:t xml:space="preserve">      </w:t>
      </w:r>
      <w:r>
        <w:t>RRC signalling for case when UE is configured with cross-carrier scheduling</w:t>
      </w:r>
    </w:p>
    <w:p>
      <w:pPr>
        <w:numPr>
          <w:ilvl w:val="3"/>
          <w:numId w:val="20"/>
        </w:numPr>
        <w:overflowPunct/>
        <w:autoSpaceDE/>
        <w:autoSpaceDN/>
        <w:adjustRightInd/>
        <w:spacing w:after="0" w:line="252" w:lineRule="auto"/>
        <w:jc w:val="left"/>
        <w:textAlignment w:val="auto"/>
      </w:pPr>
      <w:r>
        <w:t>Details FFS</w:t>
      </w:r>
    </w:p>
    <w:p>
      <w:pPr>
        <w:numPr>
          <w:ilvl w:val="1"/>
          <w:numId w:val="20"/>
        </w:numPr>
        <w:overflowPunct/>
        <w:autoSpaceDE/>
        <w:autoSpaceDN/>
        <w:adjustRightInd/>
        <w:spacing w:after="0" w:line="252" w:lineRule="auto"/>
        <w:jc w:val="left"/>
        <w:textAlignment w:val="auto"/>
      </w:pPr>
      <w:r>
        <w:t>Grouping of multiple Scells/BWPs</w:t>
      </w:r>
    </w:p>
    <w:p>
      <w:pPr>
        <w:spacing w:after="0" w:line="252" w:lineRule="auto"/>
        <w:ind w:left="2160" w:hanging="180"/>
      </w:pPr>
      <w:r>
        <w:t>i.</w:t>
      </w:r>
      <w:r>
        <w:rPr>
          <w:sz w:val="14"/>
          <w:szCs w:val="14"/>
        </w:rPr>
        <w:t xml:space="preserve">      </w:t>
      </w:r>
      <w:r>
        <w:t>Details FFS</w:t>
      </w:r>
    </w:p>
    <w:p>
      <w:pPr>
        <w:numPr>
          <w:ilvl w:val="1"/>
          <w:numId w:val="21"/>
        </w:numPr>
        <w:overflowPunct/>
        <w:autoSpaceDE/>
        <w:autoSpaceDN/>
        <w:adjustRightInd/>
        <w:spacing w:after="0" w:line="252" w:lineRule="auto"/>
        <w:jc w:val="left"/>
        <w:textAlignment w:val="auto"/>
      </w:pPr>
      <w:r>
        <w:t xml:space="preserve">Application delay </w:t>
      </w:r>
    </w:p>
    <w:p>
      <w:pPr>
        <w:spacing w:after="0" w:line="252" w:lineRule="auto"/>
        <w:ind w:left="2160" w:hanging="180"/>
        <w:rPr>
          <w:strike/>
        </w:rPr>
      </w:pPr>
      <w:r>
        <w:rPr>
          <w:strike/>
        </w:rPr>
        <w:t>i.</w:t>
      </w:r>
      <w:r>
        <w:rPr>
          <w:strike/>
          <w:sz w:val="14"/>
          <w:szCs w:val="14"/>
        </w:rPr>
        <w:t xml:space="preserve">      </w:t>
      </w:r>
      <w:r>
        <w:rPr>
          <w:strike/>
        </w:rPr>
        <w:t xml:space="preserve">&lt;= BWP switching delay; </w:t>
      </w:r>
      <w:r>
        <w:rPr>
          <w:color w:val="4472C4"/>
        </w:rPr>
        <w:t>BWP switching delay is starting point</w:t>
      </w:r>
    </w:p>
    <w:p>
      <w:pPr>
        <w:spacing w:after="0"/>
        <w:ind w:left="1980"/>
        <w:rPr>
          <w:color w:val="4472C4"/>
        </w:rPr>
      </w:pPr>
      <w:r>
        <w:rPr>
          <w:color w:val="4472C4"/>
        </w:rPr>
        <w:t>ii.</w:t>
      </w:r>
      <w:r>
        <w:rPr>
          <w:color w:val="4472C4"/>
          <w:sz w:val="14"/>
          <w:szCs w:val="14"/>
        </w:rPr>
        <w:t xml:space="preserve">      </w:t>
      </w:r>
      <w:r>
        <w:rPr>
          <w:color w:val="4472C4"/>
        </w:rPr>
        <w:t xml:space="preserve">FFS: if RF switching is applied for inter-band CA, and impact on application delay </w:t>
      </w:r>
    </w:p>
    <w:p>
      <w:pPr>
        <w:spacing w:after="0" w:line="252" w:lineRule="auto"/>
        <w:ind w:left="2160" w:hanging="180"/>
      </w:pPr>
      <w:r>
        <w:t>iii.</w:t>
      </w:r>
      <w:r>
        <w:rPr>
          <w:sz w:val="14"/>
          <w:szCs w:val="14"/>
        </w:rPr>
        <w:t xml:space="preserve">      </w:t>
      </w:r>
      <w:r>
        <w:t xml:space="preserve">FFS </w:t>
      </w:r>
      <w:r>
        <w:rPr>
          <w:strike/>
        </w:rPr>
        <w:t>details: e.g.</w:t>
      </w:r>
      <w:r>
        <w:t xml:space="preserve"> For UE indicating Type 2 capability, whether Type 1 BWP switching delay is used for some BWP switch cases (e.g. for switching between BWPs that differ only in SS configuration)</w:t>
      </w:r>
    </w:p>
    <w:p>
      <w:pPr>
        <w:spacing w:after="0" w:line="252" w:lineRule="auto"/>
        <w:ind w:left="360"/>
        <w:rPr>
          <w:b/>
          <w:bCs/>
          <w:u w:val="single"/>
        </w:rPr>
      </w:pPr>
    </w:p>
    <w:p>
      <w:pPr>
        <w:spacing w:after="0" w:line="252" w:lineRule="auto"/>
        <w:ind w:left="360" w:hanging="360"/>
        <w:rPr>
          <w:b/>
          <w:bCs/>
          <w:u w:val="single"/>
        </w:rPr>
      </w:pPr>
      <w:r>
        <w:rPr>
          <w:rFonts w:ascii="Courier New" w:hAnsi="Courier New" w:cs="Courier New"/>
        </w:rPr>
        <w:t>o</w:t>
      </w:r>
      <w:r>
        <w:rPr>
          <w:sz w:val="14"/>
          <w:szCs w:val="14"/>
        </w:rPr>
        <w:t xml:space="preserve">    </w:t>
      </w:r>
      <w:r>
        <w:rPr>
          <w:b/>
          <w:bCs/>
          <w:u w:val="single"/>
        </w:rPr>
        <w:t>Option 3</w:t>
      </w:r>
    </w:p>
    <w:p>
      <w:pPr>
        <w:numPr>
          <w:ilvl w:val="1"/>
          <w:numId w:val="22"/>
        </w:numPr>
        <w:overflowPunct/>
        <w:autoSpaceDE/>
        <w:autoSpaceDN/>
        <w:adjustRightInd/>
        <w:spacing w:after="0" w:line="252" w:lineRule="auto"/>
        <w:jc w:val="left"/>
        <w:textAlignment w:val="auto"/>
      </w:pPr>
      <w:r>
        <w:t xml:space="preserve">Introduce new RRC signaling for per-BWP configuration of cross-carrier vs. self scheduling and use the CIF/BWP indicator fields for transitioning between ‘dormancy-like’ and ‘non dormancy-like’ behavior on activated Scells. </w:t>
      </w:r>
    </w:p>
    <w:p>
      <w:pPr>
        <w:spacing w:after="0" w:line="252" w:lineRule="auto"/>
        <w:ind w:left="2160" w:hanging="180"/>
      </w:pPr>
      <w:r>
        <w:t>i.</w:t>
      </w:r>
      <w:r>
        <w:rPr>
          <w:sz w:val="14"/>
          <w:szCs w:val="14"/>
        </w:rPr>
        <w:t xml:space="preserve">      </w:t>
      </w:r>
      <w:r>
        <w:t>For case when UE not configured with cross-carrier scheduling/CIF</w:t>
      </w:r>
    </w:p>
    <w:p>
      <w:pPr>
        <w:numPr>
          <w:ilvl w:val="3"/>
          <w:numId w:val="23"/>
        </w:numPr>
        <w:overflowPunct/>
        <w:autoSpaceDE/>
        <w:autoSpaceDN/>
        <w:adjustRightInd/>
        <w:spacing w:after="0" w:line="252" w:lineRule="auto"/>
        <w:jc w:val="left"/>
        <w:textAlignment w:val="auto"/>
      </w:pPr>
      <w:r>
        <w:rPr>
          <w:color w:val="4472C4"/>
        </w:rPr>
        <w:t xml:space="preserve">Alt1: </w:t>
      </w:r>
      <w:r>
        <w:t>Rel15 behaviour is applied (i.e., no CA enhancement for this case)</w:t>
      </w:r>
    </w:p>
    <w:p>
      <w:pPr>
        <w:spacing w:after="0" w:line="252" w:lineRule="auto"/>
        <w:ind w:left="2880"/>
        <w:rPr>
          <w:color w:val="4472C4"/>
        </w:rPr>
      </w:pPr>
      <w:r>
        <w:rPr>
          <w:color w:val="4472C4"/>
        </w:rPr>
        <w:t>Note: Other alternatives not precluded</w:t>
      </w:r>
    </w:p>
    <w:p>
      <w:pPr>
        <w:spacing w:after="0" w:line="252" w:lineRule="auto"/>
        <w:ind w:left="2160" w:hanging="180"/>
      </w:pPr>
      <w:r>
        <w:rPr>
          <w:sz w:val="14"/>
          <w:szCs w:val="14"/>
        </w:rPr>
        <w:t xml:space="preserve">  </w:t>
      </w:r>
      <w:r>
        <w:t>ii.</w:t>
      </w:r>
      <w:r>
        <w:rPr>
          <w:sz w:val="14"/>
          <w:szCs w:val="14"/>
        </w:rPr>
        <w:t xml:space="preserve">      </w:t>
      </w:r>
      <w:r>
        <w:t xml:space="preserve">For case when UE is configured with 1 BWP on scheduled cells other than Pcell </w:t>
      </w:r>
    </w:p>
    <w:p>
      <w:pPr>
        <w:numPr>
          <w:ilvl w:val="3"/>
          <w:numId w:val="24"/>
        </w:numPr>
        <w:overflowPunct/>
        <w:autoSpaceDE/>
        <w:autoSpaceDN/>
        <w:adjustRightInd/>
        <w:spacing w:after="0" w:line="252" w:lineRule="auto"/>
        <w:jc w:val="left"/>
        <w:textAlignment w:val="auto"/>
      </w:pPr>
      <w:r>
        <w:rPr>
          <w:color w:val="4472C4"/>
        </w:rPr>
        <w:t>Alt1:</w:t>
      </w:r>
      <w:r>
        <w:t xml:space="preserve"> Rel15 behaviour is applied (i.e., no CA enhancement for this case)</w:t>
      </w:r>
    </w:p>
    <w:p>
      <w:pPr>
        <w:spacing w:after="0" w:line="252" w:lineRule="auto"/>
        <w:ind w:left="2880"/>
        <w:rPr>
          <w:color w:val="4472C4"/>
        </w:rPr>
      </w:pPr>
      <w:r>
        <w:rPr>
          <w:color w:val="4472C4"/>
        </w:rPr>
        <w:t>Note: Other alternatives not precluded</w:t>
      </w:r>
    </w:p>
    <w:p>
      <w:pPr>
        <w:numPr>
          <w:ilvl w:val="1"/>
          <w:numId w:val="25"/>
        </w:numPr>
        <w:overflowPunct/>
        <w:autoSpaceDE/>
        <w:autoSpaceDN/>
        <w:adjustRightInd/>
        <w:spacing w:after="0" w:line="252" w:lineRule="auto"/>
        <w:jc w:val="left"/>
        <w:textAlignment w:val="auto"/>
      </w:pPr>
      <w:r>
        <w:t xml:space="preserve">Application delay </w:t>
      </w:r>
    </w:p>
    <w:p>
      <w:pPr>
        <w:spacing w:after="0" w:line="252" w:lineRule="auto"/>
        <w:ind w:left="2160" w:hanging="180"/>
        <w:rPr>
          <w:strike/>
        </w:rPr>
      </w:pPr>
      <w:r>
        <w:rPr>
          <w:strike/>
        </w:rPr>
        <w:t>i.</w:t>
      </w:r>
      <w:r>
        <w:rPr>
          <w:strike/>
          <w:sz w:val="14"/>
          <w:szCs w:val="14"/>
        </w:rPr>
        <w:t xml:space="preserve">      </w:t>
      </w:r>
      <w:r>
        <w:rPr>
          <w:strike/>
        </w:rPr>
        <w:t xml:space="preserve">&lt;= BWP switching delay </w:t>
      </w:r>
      <w:r>
        <w:rPr>
          <w:color w:val="4472C4"/>
        </w:rPr>
        <w:t>BWP switching delay is starting point</w:t>
      </w:r>
    </w:p>
    <w:p>
      <w:pPr>
        <w:spacing w:after="0" w:line="252" w:lineRule="auto"/>
        <w:ind w:left="1980"/>
      </w:pPr>
      <w:r>
        <w:t>ii.</w:t>
      </w:r>
      <w:r>
        <w:rPr>
          <w:sz w:val="14"/>
          <w:szCs w:val="14"/>
        </w:rPr>
        <w:t xml:space="preserve">      </w:t>
      </w:r>
      <w:r>
        <w:rPr>
          <w:color w:val="4472C4"/>
        </w:rPr>
        <w:t>FFS: if RF switching is applied for inter-band CA, and impact on application delay</w:t>
      </w:r>
    </w:p>
    <w:p>
      <w:pPr>
        <w:spacing w:after="0" w:line="252" w:lineRule="auto"/>
        <w:ind w:left="360" w:hanging="360"/>
        <w:rPr>
          <w:rFonts w:ascii="Calibri" w:hAnsi="Calibri"/>
          <w:b/>
          <w:bCs/>
          <w:sz w:val="22"/>
          <w:szCs w:val="22"/>
          <w:u w:val="single"/>
          <w:lang w:val="fi-FI"/>
        </w:rPr>
      </w:pPr>
      <w:r>
        <w:rPr>
          <w:rFonts w:ascii="Courier New" w:hAnsi="Courier New" w:cs="Courier New"/>
          <w:sz w:val="22"/>
          <w:szCs w:val="22"/>
          <w:lang w:val="fi-FI"/>
        </w:rPr>
        <w:t>o</w:t>
      </w:r>
      <w:r>
        <w:rPr>
          <w:sz w:val="14"/>
          <w:szCs w:val="14"/>
          <w:lang w:val="fi-FI"/>
        </w:rPr>
        <w:t xml:space="preserve">   </w:t>
      </w:r>
      <w:r>
        <w:rPr>
          <w:b/>
          <w:bCs/>
          <w:u w:val="single"/>
          <w:lang w:val="fi-FI"/>
        </w:rPr>
        <w:t xml:space="preserve">Option 1a </w:t>
      </w:r>
    </w:p>
    <w:p>
      <w:pPr>
        <w:numPr>
          <w:ilvl w:val="0"/>
          <w:numId w:val="26"/>
        </w:numPr>
        <w:overflowPunct/>
        <w:autoSpaceDE/>
        <w:autoSpaceDN/>
        <w:adjustRightInd/>
        <w:spacing w:after="0" w:line="252" w:lineRule="auto"/>
        <w:ind w:left="1440"/>
        <w:jc w:val="left"/>
        <w:textAlignment w:val="auto"/>
      </w:pPr>
      <w:r>
        <w:t xml:space="preserve">Introduce new RRC signalling to create </w:t>
      </w:r>
      <w:r>
        <w:rPr>
          <w:color w:val="FF0000"/>
          <w:u w:val="single"/>
        </w:rPr>
        <w:t>a mapping of Scell/</w:t>
      </w:r>
      <w:r>
        <w:t xml:space="preserve">Scell group(s) </w:t>
      </w:r>
      <w:r>
        <w:rPr>
          <w:color w:val="FF0000"/>
          <w:u w:val="single"/>
        </w:rPr>
        <w:t>to the indication field (x-bit) in the new</w:t>
      </w:r>
      <w:r>
        <w:rPr>
          <w:color w:val="FF0000"/>
        </w:rPr>
        <w:t xml:space="preserve"> </w:t>
      </w:r>
      <w:r>
        <w:rPr>
          <w:strike/>
          <w:color w:val="FF0000"/>
          <w:u w:val="single"/>
        </w:rPr>
        <w:t>and new dedicated</w:t>
      </w:r>
      <w:r>
        <w:rPr>
          <w:color w:val="FF0000"/>
        </w:rPr>
        <w:t xml:space="preserve"> </w:t>
      </w:r>
      <w:r>
        <w:t>DCI on Pcell (or cell x) for transitioning between ‘dormancy-like’ and ‘non dormancy-like’ behavior on groups of activated Scell(s) (or groups of Scell(s) other than cell x)</w:t>
      </w:r>
    </w:p>
    <w:p>
      <w:pPr>
        <w:spacing w:after="0" w:line="252" w:lineRule="auto"/>
        <w:ind w:left="2160" w:hanging="180"/>
        <w:rPr>
          <w:rFonts w:ascii="Times" w:hAnsi="Times" w:cs="Times"/>
        </w:rPr>
      </w:pPr>
      <w:r>
        <w:rPr>
          <w:rFonts w:ascii="Times" w:hAnsi="Times" w:cs="Times"/>
        </w:rPr>
        <w:t>i.</w:t>
      </w:r>
      <w:r>
        <w:rPr>
          <w:sz w:val="14"/>
          <w:szCs w:val="14"/>
        </w:rPr>
        <w:t xml:space="preserve">      </w:t>
      </w:r>
      <w:r>
        <w:rPr>
          <w:rFonts w:ascii="Times" w:hAnsi="Times" w:cs="Times"/>
        </w:rPr>
        <w:t>FFS details of RRC signaling to group the Scells</w:t>
      </w:r>
    </w:p>
    <w:p>
      <w:pPr>
        <w:numPr>
          <w:ilvl w:val="0"/>
          <w:numId w:val="27"/>
        </w:numPr>
        <w:overflowPunct/>
        <w:autoSpaceDE/>
        <w:autoSpaceDN/>
        <w:adjustRightInd/>
        <w:spacing w:after="0" w:line="252" w:lineRule="auto"/>
        <w:ind w:left="1440"/>
        <w:jc w:val="left"/>
        <w:textAlignment w:val="auto"/>
        <w:rPr>
          <w:color w:val="4472C4"/>
        </w:rPr>
      </w:pPr>
      <w:r>
        <w:rPr>
          <w:color w:val="4472C4"/>
        </w:rPr>
        <w:t>For case when Scell is configured with multiple BWPs</w:t>
      </w:r>
    </w:p>
    <w:p>
      <w:pPr>
        <w:spacing w:after="0" w:line="252" w:lineRule="auto"/>
        <w:ind w:left="2160" w:hanging="180"/>
        <w:rPr>
          <w:color w:val="4472C4"/>
        </w:rPr>
      </w:pPr>
      <w:r>
        <w:rPr>
          <w:color w:val="4472C4"/>
        </w:rPr>
        <w:t>i.</w:t>
      </w:r>
      <w:r>
        <w:rPr>
          <w:color w:val="4472C4"/>
          <w:sz w:val="14"/>
          <w:szCs w:val="14"/>
        </w:rPr>
        <w:t xml:space="preserve">      </w:t>
      </w:r>
      <w:r>
        <w:rPr>
          <w:color w:val="4472C4"/>
        </w:rPr>
        <w:t xml:space="preserve">Alt1: DCI indicates the BWP to be used on the group of Scell(s) </w:t>
      </w:r>
    </w:p>
    <w:p>
      <w:pPr>
        <w:spacing w:after="0" w:line="252" w:lineRule="auto"/>
        <w:ind w:left="2160" w:hanging="180"/>
        <w:rPr>
          <w:color w:val="4472C4"/>
        </w:rPr>
      </w:pPr>
      <w:r>
        <w:rPr>
          <w:color w:val="4472C4"/>
        </w:rPr>
        <w:t>ii.</w:t>
      </w:r>
      <w:r>
        <w:rPr>
          <w:color w:val="4472C4"/>
          <w:sz w:val="14"/>
          <w:szCs w:val="14"/>
        </w:rPr>
        <w:t xml:space="preserve">      </w:t>
      </w:r>
      <w:r>
        <w:rPr>
          <w:color w:val="4472C4"/>
        </w:rPr>
        <w:t xml:space="preserve">Alt2: DCI indicates whether to monitor/not monitor PDCCH on current active BWP of the group of Scell(s) </w:t>
      </w:r>
    </w:p>
    <w:p>
      <w:pPr>
        <w:spacing w:after="0" w:line="252" w:lineRule="auto"/>
        <w:ind w:left="2160"/>
        <w:rPr>
          <w:color w:val="4472C4"/>
        </w:rPr>
      </w:pPr>
      <w:r>
        <w:rPr>
          <w:color w:val="4472C4"/>
        </w:rPr>
        <w:t>Note: It is also possible that the dedicated DCI is used to support both Alt. 1 and Alt. 2</w:t>
      </w:r>
    </w:p>
    <w:p>
      <w:pPr>
        <w:numPr>
          <w:ilvl w:val="0"/>
          <w:numId w:val="28"/>
        </w:numPr>
        <w:overflowPunct/>
        <w:autoSpaceDE/>
        <w:autoSpaceDN/>
        <w:adjustRightInd/>
        <w:spacing w:after="0" w:line="252" w:lineRule="auto"/>
        <w:ind w:left="1440"/>
        <w:jc w:val="left"/>
        <w:textAlignment w:val="auto"/>
      </w:pPr>
      <w:r>
        <w:t xml:space="preserve">For case when Scell is configured with one </w:t>
      </w:r>
      <w:r>
        <w:rPr>
          <w:strike/>
        </w:rPr>
        <w:t>or multiple</w:t>
      </w:r>
      <w:r>
        <w:t xml:space="preserve"> BWP</w:t>
      </w:r>
      <w:r>
        <w:rPr>
          <w:strike/>
        </w:rPr>
        <w:t>s</w:t>
      </w:r>
    </w:p>
    <w:p>
      <w:pPr>
        <w:spacing w:after="0" w:line="252" w:lineRule="auto"/>
        <w:ind w:left="2160" w:hanging="180"/>
      </w:pPr>
      <w:r>
        <w:t>i.</w:t>
      </w:r>
      <w:r>
        <w:rPr>
          <w:sz w:val="14"/>
          <w:szCs w:val="14"/>
        </w:rPr>
        <w:t xml:space="preserve">      </w:t>
      </w:r>
      <w:r>
        <w:rPr>
          <w:color w:val="4472C4"/>
        </w:rPr>
        <w:t xml:space="preserve">Alt1: </w:t>
      </w:r>
      <w:r>
        <w:t xml:space="preserve">DCI indicates whether to monitor/not monitor PDCCH on </w:t>
      </w:r>
      <w:r>
        <w:rPr>
          <w:strike/>
        </w:rPr>
        <w:t>current active BWP of a</w:t>
      </w:r>
      <w:r>
        <w:t xml:space="preserve"> </w:t>
      </w:r>
      <w:r>
        <w:rPr>
          <w:color w:val="4472C4"/>
        </w:rPr>
        <w:t>the</w:t>
      </w:r>
      <w:r>
        <w:t xml:space="preserve"> group of Scells </w:t>
      </w:r>
      <w:r>
        <w:rPr>
          <w:strike/>
        </w:rPr>
        <w:t>(1 bit per group of Scells)</w:t>
      </w:r>
    </w:p>
    <w:p>
      <w:pPr>
        <w:spacing w:after="0" w:line="252" w:lineRule="auto"/>
        <w:ind w:left="2160" w:hanging="180"/>
        <w:rPr>
          <w:color w:val="4472C4"/>
        </w:rPr>
      </w:pPr>
      <w:r>
        <w:rPr>
          <w:color w:val="4472C4"/>
        </w:rPr>
        <w:t>ii.</w:t>
      </w:r>
      <w:r>
        <w:rPr>
          <w:color w:val="4472C4"/>
          <w:sz w:val="14"/>
          <w:szCs w:val="14"/>
        </w:rPr>
        <w:t xml:space="preserve">      </w:t>
      </w:r>
      <w:r>
        <w:rPr>
          <w:color w:val="4472C4"/>
        </w:rPr>
        <w:t xml:space="preserve">Alt2: DCI indicates switching between sparse PDCCH monitoring and frequent PDCCH monitoring for the group of Scell(s) </w:t>
      </w:r>
    </w:p>
    <w:p>
      <w:pPr>
        <w:numPr>
          <w:ilvl w:val="0"/>
          <w:numId w:val="29"/>
        </w:numPr>
        <w:overflowPunct/>
        <w:autoSpaceDE/>
        <w:autoSpaceDN/>
        <w:adjustRightInd/>
        <w:spacing w:after="0" w:line="252" w:lineRule="auto"/>
        <w:ind w:left="1440"/>
        <w:jc w:val="left"/>
        <w:textAlignment w:val="auto"/>
      </w:pPr>
      <w:r>
        <w:t>DCI is applicable for case when UE is not configured with CIF (i.e., no cross-carrier scheduling)</w:t>
      </w:r>
    </w:p>
    <w:p>
      <w:pPr>
        <w:numPr>
          <w:ilvl w:val="0"/>
          <w:numId w:val="30"/>
        </w:numPr>
        <w:overflowPunct/>
        <w:autoSpaceDE/>
        <w:autoSpaceDN/>
        <w:adjustRightInd/>
        <w:spacing w:after="0" w:line="252" w:lineRule="auto"/>
        <w:ind w:left="2340"/>
        <w:jc w:val="left"/>
        <w:textAlignment w:val="auto"/>
      </w:pPr>
      <w:r>
        <w:t>FFS for cross-carrier scheduling case</w:t>
      </w:r>
    </w:p>
    <w:p>
      <w:pPr>
        <w:numPr>
          <w:ilvl w:val="0"/>
          <w:numId w:val="31"/>
        </w:numPr>
        <w:overflowPunct/>
        <w:autoSpaceDE/>
        <w:autoSpaceDN/>
        <w:adjustRightInd/>
        <w:spacing w:after="0" w:line="252" w:lineRule="auto"/>
        <w:ind w:left="1440"/>
        <w:jc w:val="left"/>
        <w:textAlignment w:val="auto"/>
      </w:pPr>
      <w:r>
        <w:t>DCI details FFS</w:t>
      </w:r>
    </w:p>
    <w:p>
      <w:pPr>
        <w:numPr>
          <w:ilvl w:val="0"/>
          <w:numId w:val="31"/>
        </w:numPr>
        <w:overflowPunct/>
        <w:autoSpaceDE/>
        <w:autoSpaceDN/>
        <w:adjustRightInd/>
        <w:spacing w:after="0" w:line="252" w:lineRule="auto"/>
        <w:ind w:left="1440"/>
        <w:jc w:val="left"/>
        <w:textAlignment w:val="auto"/>
      </w:pPr>
      <w:r>
        <w:t xml:space="preserve">Application delay </w:t>
      </w:r>
    </w:p>
    <w:p>
      <w:pPr>
        <w:numPr>
          <w:ilvl w:val="0"/>
          <w:numId w:val="32"/>
        </w:numPr>
        <w:overflowPunct/>
        <w:autoSpaceDE/>
        <w:autoSpaceDN/>
        <w:adjustRightInd/>
        <w:spacing w:after="0" w:line="252" w:lineRule="auto"/>
        <w:ind w:left="2340"/>
        <w:jc w:val="left"/>
        <w:textAlignment w:val="auto"/>
        <w:rPr>
          <w:strike/>
        </w:rPr>
      </w:pPr>
      <w:r>
        <w:rPr>
          <w:strike/>
        </w:rPr>
        <w:t xml:space="preserve">&lt;= BWP switching delay; </w:t>
      </w:r>
      <w:r>
        <w:rPr>
          <w:color w:val="4472C4"/>
        </w:rPr>
        <w:t>BWP switching delay is starting point</w:t>
      </w:r>
    </w:p>
    <w:p>
      <w:pPr>
        <w:numPr>
          <w:ilvl w:val="0"/>
          <w:numId w:val="32"/>
        </w:numPr>
        <w:overflowPunct/>
        <w:autoSpaceDE/>
        <w:autoSpaceDN/>
        <w:adjustRightInd/>
        <w:spacing w:after="0" w:line="252" w:lineRule="auto"/>
        <w:ind w:left="2340"/>
        <w:jc w:val="left"/>
        <w:textAlignment w:val="auto"/>
        <w:rPr>
          <w:strike/>
        </w:rPr>
      </w:pPr>
      <w:r>
        <w:rPr>
          <w:color w:val="4472C4"/>
        </w:rPr>
        <w:t>FFS: if RF switching is applied for inter-band CA, and impact on application delay</w:t>
      </w:r>
    </w:p>
    <w:p>
      <w:pPr>
        <w:numPr>
          <w:ilvl w:val="0"/>
          <w:numId w:val="33"/>
        </w:numPr>
        <w:overflowPunct/>
        <w:autoSpaceDE/>
        <w:autoSpaceDN/>
        <w:adjustRightInd/>
        <w:spacing w:after="0" w:line="252" w:lineRule="auto"/>
        <w:jc w:val="left"/>
        <w:textAlignment w:val="auto"/>
      </w:pPr>
      <w:r>
        <w:t>FFS between below alternatives</w:t>
      </w:r>
      <w:r>
        <w:rPr>
          <w:rFonts w:hint="eastAsia"/>
        </w:rPr>
        <w:t xml:space="preserve"> </w:t>
      </w:r>
    </w:p>
    <w:p>
      <w:pPr>
        <w:numPr>
          <w:ilvl w:val="1"/>
          <w:numId w:val="33"/>
        </w:numPr>
        <w:overflowPunct/>
        <w:autoSpaceDE/>
        <w:autoSpaceDN/>
        <w:adjustRightInd/>
        <w:spacing w:after="0" w:line="252" w:lineRule="auto"/>
        <w:ind w:left="2880"/>
        <w:jc w:val="left"/>
        <w:textAlignment w:val="auto"/>
      </w:pPr>
      <w:r>
        <w:t xml:space="preserve">Alt1: The </w:t>
      </w:r>
      <w:r>
        <w:rPr>
          <w:color w:val="4472C4"/>
        </w:rPr>
        <w:t>new DCI is dedicated DCI and</w:t>
      </w:r>
      <w:r>
        <w:t xml:space="preserve"> is not expected to be used for data scheduling </w:t>
      </w:r>
    </w:p>
    <w:p>
      <w:pPr>
        <w:numPr>
          <w:ilvl w:val="1"/>
          <w:numId w:val="33"/>
        </w:numPr>
        <w:overflowPunct/>
        <w:autoSpaceDE/>
        <w:autoSpaceDN/>
        <w:adjustRightInd/>
        <w:spacing w:after="0" w:line="252" w:lineRule="auto"/>
        <w:ind w:left="2880"/>
        <w:jc w:val="left"/>
        <w:textAlignment w:val="auto"/>
        <w:rPr>
          <w:color w:val="4472C4"/>
        </w:rPr>
      </w:pPr>
      <w:r>
        <w:rPr>
          <w:color w:val="4472C4"/>
        </w:rPr>
        <w:t>Alt2: The new DCI is included along with scheduling DCI (i.e., enhanced field in scheduling DCI)</w:t>
      </w:r>
    </w:p>
    <w:p>
      <w:pPr>
        <w:numPr>
          <w:ilvl w:val="0"/>
          <w:numId w:val="33"/>
        </w:numPr>
        <w:overflowPunct/>
        <w:autoSpaceDE/>
        <w:autoSpaceDN/>
        <w:adjustRightInd/>
        <w:spacing w:after="0" w:line="252" w:lineRule="auto"/>
        <w:ind w:left="1440"/>
        <w:jc w:val="left"/>
        <w:textAlignment w:val="auto"/>
      </w:pPr>
      <w:r>
        <w:t xml:space="preserve">FFS: If ACK should be transmitted in response to receiving the DCI (e.g. like SPS release PDCCH) </w:t>
      </w:r>
    </w:p>
    <w:p>
      <w:pPr>
        <w:spacing w:line="252" w:lineRule="auto"/>
        <w:ind w:left="1440"/>
      </w:pPr>
    </w:p>
    <w:p>
      <w:pPr>
        <w:spacing w:line="252" w:lineRule="auto"/>
        <w:ind w:left="360" w:hanging="360"/>
        <w:rPr>
          <w:b/>
          <w:bCs/>
          <w:u w:val="single"/>
        </w:rPr>
      </w:pPr>
      <w:r>
        <w:rPr>
          <w:rFonts w:ascii="Courier New" w:hAnsi="Courier New" w:cs="Courier New"/>
        </w:rPr>
        <w:t>o</w:t>
      </w:r>
      <w:r>
        <w:rPr>
          <w:sz w:val="14"/>
          <w:szCs w:val="14"/>
        </w:rPr>
        <w:t xml:space="preserve">    </w:t>
      </w:r>
      <w:r>
        <w:rPr>
          <w:b/>
          <w:bCs/>
          <w:u w:val="single"/>
        </w:rPr>
        <w:t>Option 3a</w:t>
      </w:r>
    </w:p>
    <w:p>
      <w:pPr>
        <w:numPr>
          <w:ilvl w:val="0"/>
          <w:numId w:val="34"/>
        </w:numPr>
        <w:overflowPunct/>
        <w:autoSpaceDE/>
        <w:autoSpaceDN/>
        <w:adjustRightInd/>
        <w:spacing w:after="0" w:line="252" w:lineRule="auto"/>
        <w:ind w:left="1440"/>
        <w:jc w:val="left"/>
        <w:textAlignment w:val="auto"/>
      </w:pPr>
      <w:r>
        <w:t xml:space="preserve">When UE is configured with cross-carrier scheduling, use CIF/BWP indicator fields for transitioning between ‘dormancy-like’ and ‘non dormancy-like’ behavior on activated Scells </w:t>
      </w:r>
    </w:p>
    <w:p>
      <w:pPr>
        <w:numPr>
          <w:ilvl w:val="0"/>
          <w:numId w:val="34"/>
        </w:numPr>
        <w:overflowPunct/>
        <w:autoSpaceDE/>
        <w:autoSpaceDN/>
        <w:adjustRightInd/>
        <w:spacing w:after="0" w:line="252" w:lineRule="auto"/>
        <w:ind w:left="1440"/>
        <w:jc w:val="left"/>
        <w:textAlignment w:val="auto"/>
      </w:pPr>
      <w:r>
        <w:t>Use per serving cell configuration of cross-carrier vs. self scheduling as in Rel-15</w:t>
      </w:r>
    </w:p>
    <w:p>
      <w:pPr>
        <w:numPr>
          <w:ilvl w:val="0"/>
          <w:numId w:val="35"/>
        </w:numPr>
        <w:overflowPunct/>
        <w:autoSpaceDE/>
        <w:autoSpaceDN/>
        <w:adjustRightInd/>
        <w:spacing w:after="0" w:line="252" w:lineRule="auto"/>
        <w:ind w:left="2340"/>
        <w:jc w:val="left"/>
        <w:textAlignment w:val="auto"/>
      </w:pPr>
      <w:r>
        <w:t>For case when UE not configured with cross-carrier scheduling/CIF</w:t>
      </w:r>
    </w:p>
    <w:p>
      <w:pPr>
        <w:numPr>
          <w:ilvl w:val="3"/>
          <w:numId w:val="36"/>
        </w:numPr>
        <w:overflowPunct/>
        <w:autoSpaceDE/>
        <w:autoSpaceDN/>
        <w:adjustRightInd/>
        <w:spacing w:after="0" w:line="252" w:lineRule="auto"/>
        <w:jc w:val="left"/>
        <w:textAlignment w:val="auto"/>
      </w:pPr>
      <w:r>
        <w:rPr>
          <w:color w:val="4472C4"/>
        </w:rPr>
        <w:t xml:space="preserve">Alt1: </w:t>
      </w:r>
      <w:r>
        <w:t>Rel15 behaviour is applied (i.e., no CA enhancement for this case)</w:t>
      </w:r>
    </w:p>
    <w:p>
      <w:pPr>
        <w:spacing w:after="0" w:line="252" w:lineRule="auto"/>
        <w:ind w:left="2880"/>
        <w:rPr>
          <w:color w:val="4472C4"/>
        </w:rPr>
      </w:pPr>
      <w:r>
        <w:rPr>
          <w:color w:val="4472C4"/>
        </w:rPr>
        <w:t>Note: Other alternatives not precluded</w:t>
      </w:r>
    </w:p>
    <w:p>
      <w:pPr>
        <w:numPr>
          <w:ilvl w:val="0"/>
          <w:numId w:val="37"/>
        </w:numPr>
        <w:overflowPunct/>
        <w:autoSpaceDE/>
        <w:autoSpaceDN/>
        <w:adjustRightInd/>
        <w:spacing w:after="0" w:line="252" w:lineRule="auto"/>
        <w:ind w:left="2340"/>
        <w:jc w:val="left"/>
        <w:textAlignment w:val="auto"/>
      </w:pPr>
      <w:r>
        <w:t xml:space="preserve">For case when UE is configured with 1 BWP on scheduled cells other than Pcell </w:t>
      </w:r>
    </w:p>
    <w:p>
      <w:pPr>
        <w:numPr>
          <w:ilvl w:val="3"/>
          <w:numId w:val="38"/>
        </w:numPr>
        <w:overflowPunct/>
        <w:autoSpaceDE/>
        <w:autoSpaceDN/>
        <w:adjustRightInd/>
        <w:spacing w:after="0" w:line="252" w:lineRule="auto"/>
        <w:jc w:val="left"/>
        <w:textAlignment w:val="auto"/>
      </w:pPr>
      <w:r>
        <w:rPr>
          <w:color w:val="4472C4"/>
        </w:rPr>
        <w:t xml:space="preserve">Alt1: </w:t>
      </w:r>
      <w:r>
        <w:t>Rel15 behaviour is applied (i.e., no CA enhancement for this case)</w:t>
      </w:r>
    </w:p>
    <w:p>
      <w:pPr>
        <w:spacing w:after="0" w:line="252" w:lineRule="auto"/>
        <w:ind w:left="2880"/>
        <w:rPr>
          <w:color w:val="4472C4"/>
        </w:rPr>
      </w:pPr>
      <w:r>
        <w:rPr>
          <w:color w:val="4472C4"/>
        </w:rPr>
        <w:t>Note: Other alternatives not precluded</w:t>
      </w:r>
    </w:p>
    <w:p>
      <w:pPr>
        <w:numPr>
          <w:ilvl w:val="0"/>
          <w:numId w:val="39"/>
        </w:numPr>
        <w:overflowPunct/>
        <w:autoSpaceDE/>
        <w:autoSpaceDN/>
        <w:adjustRightInd/>
        <w:spacing w:after="0" w:line="252" w:lineRule="auto"/>
        <w:ind w:left="1440"/>
        <w:jc w:val="left"/>
        <w:textAlignment w:val="auto"/>
      </w:pPr>
      <w:r>
        <w:t xml:space="preserve">Application delay </w:t>
      </w:r>
    </w:p>
    <w:p>
      <w:pPr>
        <w:numPr>
          <w:ilvl w:val="0"/>
          <w:numId w:val="40"/>
        </w:numPr>
        <w:overflowPunct/>
        <w:autoSpaceDE/>
        <w:autoSpaceDN/>
        <w:adjustRightInd/>
        <w:spacing w:after="0" w:line="252" w:lineRule="auto"/>
        <w:ind w:left="2340"/>
        <w:jc w:val="left"/>
        <w:textAlignment w:val="auto"/>
        <w:rPr>
          <w:strike/>
        </w:rPr>
      </w:pPr>
      <w:r>
        <w:rPr>
          <w:strike/>
        </w:rPr>
        <w:t xml:space="preserve">&lt;= BWP switching delay </w:t>
      </w:r>
      <w:r>
        <w:rPr>
          <w:color w:val="4472C4"/>
        </w:rPr>
        <w:t>BWP switching delay is starting point</w:t>
      </w:r>
    </w:p>
    <w:p>
      <w:pPr>
        <w:numPr>
          <w:ilvl w:val="0"/>
          <w:numId w:val="40"/>
        </w:numPr>
        <w:overflowPunct/>
        <w:autoSpaceDE/>
        <w:autoSpaceDN/>
        <w:adjustRightInd/>
        <w:spacing w:after="0" w:line="252" w:lineRule="auto"/>
        <w:ind w:left="2340"/>
        <w:jc w:val="left"/>
        <w:textAlignment w:val="auto"/>
        <w:rPr>
          <w:strike/>
        </w:rPr>
      </w:pPr>
      <w:r>
        <w:rPr>
          <w:color w:val="4472C4"/>
        </w:rPr>
        <w:t>FFS: if RF switching is applied for inter-band CA, and impact on application delay</w:t>
      </w:r>
    </w:p>
    <w:p>
      <w:pPr>
        <w:spacing w:line="252" w:lineRule="auto"/>
      </w:pPr>
    </w:p>
    <w:p>
      <w:pPr>
        <w:spacing w:line="252" w:lineRule="auto"/>
        <w:ind w:left="360" w:hanging="360"/>
        <w:rPr>
          <w:b/>
          <w:bCs/>
          <w:u w:val="single"/>
        </w:rPr>
      </w:pPr>
      <w:r>
        <w:rPr>
          <w:rFonts w:ascii="Courier New" w:hAnsi="Courier New" w:cs="Courier New"/>
        </w:rPr>
        <w:t>o</w:t>
      </w:r>
      <w:r>
        <w:rPr>
          <w:sz w:val="14"/>
          <w:szCs w:val="14"/>
        </w:rPr>
        <w:t xml:space="preserve">    </w:t>
      </w:r>
      <w:r>
        <w:rPr>
          <w:b/>
          <w:bCs/>
          <w:u w:val="single"/>
        </w:rPr>
        <w:t>Option 3b</w:t>
      </w:r>
    </w:p>
    <w:p>
      <w:pPr>
        <w:numPr>
          <w:ilvl w:val="0"/>
          <w:numId w:val="41"/>
        </w:numPr>
        <w:overflowPunct/>
        <w:autoSpaceDE/>
        <w:autoSpaceDN/>
        <w:adjustRightInd/>
        <w:spacing w:after="0" w:line="252" w:lineRule="auto"/>
        <w:ind w:left="1440"/>
        <w:jc w:val="left"/>
        <w:textAlignment w:val="auto"/>
      </w:pPr>
      <w:r>
        <w:t>Configure CIF to be present in DCI format in Pcell search-space even if cross-carrier scheduling is not configured</w:t>
      </w:r>
    </w:p>
    <w:p>
      <w:pPr>
        <w:numPr>
          <w:ilvl w:val="0"/>
          <w:numId w:val="42"/>
        </w:numPr>
        <w:overflowPunct/>
        <w:autoSpaceDE/>
        <w:autoSpaceDN/>
        <w:adjustRightInd/>
        <w:spacing w:after="0" w:line="252" w:lineRule="auto"/>
        <w:ind w:left="2340"/>
        <w:jc w:val="left"/>
        <w:textAlignment w:val="auto"/>
      </w:pPr>
      <w:r>
        <w:t>Details FFS</w:t>
      </w:r>
    </w:p>
    <w:p>
      <w:pPr>
        <w:numPr>
          <w:ilvl w:val="0"/>
          <w:numId w:val="43"/>
        </w:numPr>
        <w:overflowPunct/>
        <w:autoSpaceDE/>
        <w:autoSpaceDN/>
        <w:adjustRightInd/>
        <w:spacing w:after="0" w:line="252" w:lineRule="auto"/>
        <w:ind w:left="1440"/>
        <w:jc w:val="left"/>
        <w:textAlignment w:val="auto"/>
      </w:pPr>
      <w:r>
        <w:t xml:space="preserve">Application delay </w:t>
      </w:r>
    </w:p>
    <w:p>
      <w:pPr>
        <w:numPr>
          <w:ilvl w:val="0"/>
          <w:numId w:val="44"/>
        </w:numPr>
        <w:overflowPunct/>
        <w:autoSpaceDE/>
        <w:autoSpaceDN/>
        <w:adjustRightInd/>
        <w:spacing w:after="0" w:line="252" w:lineRule="auto"/>
        <w:ind w:left="2340"/>
        <w:jc w:val="left"/>
        <w:textAlignment w:val="auto"/>
        <w:rPr>
          <w:strike/>
        </w:rPr>
      </w:pPr>
      <w:r>
        <w:rPr>
          <w:strike/>
        </w:rPr>
        <w:t xml:space="preserve">&lt;= BWP switching delay </w:t>
      </w:r>
      <w:r>
        <w:rPr>
          <w:color w:val="4472C4"/>
        </w:rPr>
        <w:t>BWP switching delay is starting point</w:t>
      </w:r>
    </w:p>
    <w:p>
      <w:pPr>
        <w:numPr>
          <w:ilvl w:val="0"/>
          <w:numId w:val="44"/>
        </w:numPr>
        <w:overflowPunct/>
        <w:autoSpaceDE/>
        <w:autoSpaceDN/>
        <w:adjustRightInd/>
        <w:spacing w:after="0" w:line="252" w:lineRule="auto"/>
        <w:ind w:left="2340"/>
        <w:jc w:val="left"/>
        <w:textAlignment w:val="auto"/>
        <w:rPr>
          <w:strike/>
        </w:rPr>
      </w:pPr>
      <w:r>
        <w:rPr>
          <w:color w:val="4472C4"/>
        </w:rPr>
        <w:t>FFS: if RF switching is applied for inter-band CA, and impact on application delay</w:t>
      </w:r>
    </w:p>
    <w:p>
      <w:pPr>
        <w:rPr>
          <w:rFonts w:ascii="Calibri" w:hAnsi="Calibri" w:cs="Calibri"/>
          <w:sz w:val="22"/>
          <w:szCs w:val="22"/>
        </w:rPr>
      </w:pPr>
    </w:p>
    <w:p>
      <w:r>
        <w:t>Note 1: FFS: If any additional UE behavior is needed when UE is also configured for receiving PDCCH based power saving signal/channel outside active time</w:t>
      </w:r>
    </w:p>
    <w:p>
      <w:r>
        <w:t>Note 2: “BWP” =&gt; UE specific RRC configured BWP</w:t>
      </w:r>
    </w:p>
    <w:p>
      <w:pPr>
        <w:rPr>
          <w:color w:val="4472C4"/>
        </w:rPr>
      </w:pPr>
      <w:r>
        <w:rPr>
          <w:color w:val="4472C4"/>
        </w:rPr>
        <w:t>Note 3: ‘dormancy like behavior’ may also include CSI measurement/reporting relaxation for some cases</w:t>
      </w:r>
    </w:p>
    <w:p>
      <w:pPr>
        <w:rPr>
          <w:color w:val="4472C4"/>
        </w:rPr>
      </w:pPr>
      <w:r>
        <w:rPr>
          <w:color w:val="4472C4"/>
        </w:rPr>
        <w:t>Note 4: It is not precluded to further combine and modify above options</w:t>
      </w:r>
    </w:p>
    <w:p>
      <w:pPr>
        <w:rPr>
          <w:lang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pPr>
    <w:r>
      <w:rPr>
        <w:rStyle w:val="52"/>
      </w:rPr>
      <w:fldChar w:fldCharType="begin"/>
    </w:r>
    <w:r>
      <w:rPr>
        <w:rStyle w:val="52"/>
      </w:rPr>
      <w:instrText xml:space="preserve"> PAGE </w:instrText>
    </w:r>
    <w:r>
      <w:rPr>
        <w:rStyle w:val="52"/>
      </w:rPr>
      <w:fldChar w:fldCharType="separate"/>
    </w:r>
    <w:r>
      <w:rPr>
        <w:rStyle w:val="52"/>
      </w:rPr>
      <w:t>1</w:t>
    </w:r>
    <w:r>
      <w:rPr>
        <w:rStyle w:val="52"/>
      </w:rPr>
      <w:fldChar w:fldCharType="end"/>
    </w:r>
    <w:r>
      <w:rPr>
        <w:rStyle w:val="52"/>
      </w:rPr>
      <w:t>/</w:t>
    </w:r>
    <w:r>
      <w:rPr>
        <w:rStyle w:val="52"/>
      </w:rPr>
      <w:fldChar w:fldCharType="begin"/>
    </w:r>
    <w:r>
      <w:rPr>
        <w:rStyle w:val="52"/>
      </w:rPr>
      <w:instrText xml:space="preserve"> NUMPAGES </w:instrText>
    </w:r>
    <w:r>
      <w:rPr>
        <w:rStyle w:val="52"/>
      </w:rPr>
      <w:fldChar w:fldCharType="separate"/>
    </w:r>
    <w:r>
      <w:rPr>
        <w:rStyle w:val="52"/>
      </w:rPr>
      <w:t>7</w:t>
    </w:r>
    <w:r>
      <w:rPr>
        <w:rStyle w:val="5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2"/>
      </w:rPr>
    </w:pPr>
    <w:r>
      <w:rPr>
        <w:rStyle w:val="52"/>
      </w:rPr>
      <w:fldChar w:fldCharType="begin"/>
    </w:r>
    <w:r>
      <w:rPr>
        <w:rStyle w:val="52"/>
      </w:rPr>
      <w:instrText xml:space="preserve">PAGE  </w:instrText>
    </w:r>
    <w:r>
      <w:rPr>
        <w:rStyle w:val="52"/>
      </w:rPr>
      <w:fldChar w:fldCharType="end"/>
    </w:r>
  </w:p>
  <w:p>
    <w:pPr>
      <w:pStyle w:val="3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C468F"/>
    <w:multiLevelType w:val="multilevel"/>
    <w:tmpl w:val="04CC468F"/>
    <w:lvl w:ilvl="0" w:tentative="0">
      <w:start w:val="1"/>
      <w:numFmt w:val="lowerLetter"/>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07B549EF"/>
    <w:multiLevelType w:val="multilevel"/>
    <w:tmpl w:val="07B549EF"/>
    <w:lvl w:ilvl="0" w:tentative="0">
      <w:start w:val="2"/>
      <w:numFmt w:val="lowerLetter"/>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07D35171"/>
    <w:multiLevelType w:val="multilevel"/>
    <w:tmpl w:val="07D35171"/>
    <w:lvl w:ilvl="0" w:tentative="0">
      <w:start w:val="1"/>
      <w:numFmt w:val="lowerLetter"/>
      <w:lvlText w:val="%1."/>
      <w:lvlJc w:val="left"/>
      <w:pPr>
        <w:tabs>
          <w:tab w:val="left" w:pos="720"/>
        </w:tabs>
        <w:ind w:left="720" w:hanging="360"/>
      </w:pPr>
    </w:lvl>
    <w:lvl w:ilvl="1" w:tentative="0">
      <w:start w:val="5"/>
      <w:numFmt w:val="lowerLetter"/>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4">
    <w:nsid w:val="09443007"/>
    <w:multiLevelType w:val="multilevel"/>
    <w:tmpl w:val="09443007"/>
    <w:lvl w:ilvl="0" w:tentative="0">
      <w:start w:val="1"/>
      <w:numFmt w:val="lowerRoman"/>
      <w:lvlText w:val="%1."/>
      <w:lvlJc w:val="righ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
    <w:nsid w:val="10D44D47"/>
    <w:multiLevelType w:val="multilevel"/>
    <w:tmpl w:val="10D44D47"/>
    <w:lvl w:ilvl="0" w:tentative="0">
      <w:start w:val="1"/>
      <w:numFmt w:val="lowerLetter"/>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
    <w:nsid w:val="1A66663F"/>
    <w:multiLevelType w:val="multilevel"/>
    <w:tmpl w:val="1A66663F"/>
    <w:lvl w:ilvl="0" w:tentative="0">
      <w:start w:val="1"/>
      <w:numFmt w:val="lowerLetter"/>
      <w:lvlText w:val="%1."/>
      <w:lvlJc w:val="left"/>
      <w:pPr>
        <w:tabs>
          <w:tab w:val="left" w:pos="720"/>
        </w:tabs>
        <w:ind w:left="720" w:hanging="360"/>
      </w:pPr>
    </w:lvl>
    <w:lvl w:ilvl="1" w:tentative="0">
      <w:start w:val="3"/>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1F5956C2"/>
    <w:multiLevelType w:val="multilevel"/>
    <w:tmpl w:val="1F5956C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238E2CC4"/>
    <w:multiLevelType w:val="multilevel"/>
    <w:tmpl w:val="238E2CC4"/>
    <w:lvl w:ilvl="0" w:tentative="0">
      <w:start w:val="1"/>
      <w:numFmt w:val="lowerRoman"/>
      <w:lvlText w:val="%1."/>
      <w:lvlJc w:val="righ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24952D6C"/>
    <w:multiLevelType w:val="multilevel"/>
    <w:tmpl w:val="24952D6C"/>
    <w:lvl w:ilvl="0" w:tentative="0">
      <w:start w:val="4"/>
      <w:numFmt w:val="lowerLetter"/>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0">
    <w:nsid w:val="27575FEC"/>
    <w:multiLevelType w:val="multilevel"/>
    <w:tmpl w:val="27575FEC"/>
    <w:lvl w:ilvl="0" w:tentative="0">
      <w:start w:val="1"/>
      <w:numFmt w:val="lowerLetter"/>
      <w:lvlText w:val="%1."/>
      <w:lvlJc w:val="left"/>
      <w:pPr>
        <w:tabs>
          <w:tab w:val="left" w:pos="720"/>
        </w:tabs>
        <w:ind w:left="720" w:hanging="360"/>
      </w:pPr>
    </w:lvl>
    <w:lvl w:ilvl="1" w:tentative="0">
      <w:start w:val="3"/>
      <w:numFmt w:val="lowerLetter"/>
      <w:lvlText w:val="%2."/>
      <w:lvlJc w:val="left"/>
      <w:pPr>
        <w:tabs>
          <w:tab w:val="left" w:pos="1440"/>
        </w:tabs>
        <w:ind w:left="1440" w:hanging="360"/>
      </w:pPr>
    </w:lvl>
    <w:lvl w:ilvl="2" w:tentative="0">
      <w:start w:val="2"/>
      <w:numFmt w:val="lowerRoman"/>
      <w:lvlText w:val="%3."/>
      <w:lvlJc w:val="righ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2A61151C"/>
    <w:multiLevelType w:val="multilevel"/>
    <w:tmpl w:val="2A61151C"/>
    <w:lvl w:ilvl="0" w:tentative="0">
      <w:start w:val="1"/>
      <w:numFmt w:val="lowerLetter"/>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2"/>
      <w:numFmt w:val="lowerRoman"/>
      <w:lvlText w:val="%3."/>
      <w:lvlJc w:val="righ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2">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13">
    <w:nsid w:val="2F157F58"/>
    <w:multiLevelType w:val="multilevel"/>
    <w:tmpl w:val="2F157F58"/>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300972F8"/>
    <w:multiLevelType w:val="multilevel"/>
    <w:tmpl w:val="300972F8"/>
    <w:lvl w:ilvl="0" w:tentative="0">
      <w:start w:val="5"/>
      <w:numFmt w:val="lowerLetter"/>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5">
    <w:nsid w:val="301E2C99"/>
    <w:multiLevelType w:val="multilevel"/>
    <w:tmpl w:val="301E2C99"/>
    <w:lvl w:ilvl="0" w:tentative="0">
      <w:start w:val="2"/>
      <w:numFmt w:val="lowerRoman"/>
      <w:lvlText w:val="%1."/>
      <w:lvlJc w:val="righ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6">
    <w:nsid w:val="31D90FF0"/>
    <w:multiLevelType w:val="multilevel"/>
    <w:tmpl w:val="31D90FF0"/>
    <w:lvl w:ilvl="0" w:tentative="0">
      <w:start w:val="1"/>
      <w:numFmt w:val="lowerLetter"/>
      <w:lvlText w:val="%1."/>
      <w:lvlJc w:val="left"/>
      <w:pPr>
        <w:tabs>
          <w:tab w:val="left" w:pos="720"/>
        </w:tabs>
        <w:ind w:left="720" w:hanging="360"/>
      </w:pPr>
    </w:lvl>
    <w:lvl w:ilvl="1" w:tentative="0">
      <w:start w:val="2"/>
      <w:numFmt w:val="lowerLetter"/>
      <w:lvlText w:val="%2."/>
      <w:lvlJc w:val="left"/>
      <w:pPr>
        <w:tabs>
          <w:tab w:val="left" w:pos="1440"/>
        </w:tabs>
        <w:ind w:left="1440" w:hanging="360"/>
      </w:pPr>
    </w:lvl>
    <w:lvl w:ilvl="2" w:tentative="0">
      <w:start w:val="2"/>
      <w:numFmt w:val="lowerRoman"/>
      <w:lvlText w:val="%3."/>
      <w:lvlJc w:val="right"/>
      <w:pPr>
        <w:tabs>
          <w:tab w:val="left" w:pos="2160"/>
        </w:tabs>
        <w:ind w:left="2160" w:hanging="360"/>
      </w:pPr>
    </w:lvl>
    <w:lvl w:ilvl="3" w:tentative="0">
      <w:start w:val="2"/>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7">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39FB210B"/>
    <w:multiLevelType w:val="multilevel"/>
    <w:tmpl w:val="39FB210B"/>
    <w:lvl w:ilvl="0" w:tentative="0">
      <w:start w:val="1"/>
      <w:numFmt w:val="lowerLetter"/>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9">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20">
    <w:nsid w:val="3C413E40"/>
    <w:multiLevelType w:val="multilevel"/>
    <w:tmpl w:val="3C413E40"/>
    <w:lvl w:ilvl="0" w:tentative="0">
      <w:start w:val="1"/>
      <w:numFmt w:val="lowerLetter"/>
      <w:lvlText w:val="%1."/>
      <w:lvlJc w:val="left"/>
      <w:pPr>
        <w:tabs>
          <w:tab w:val="left" w:pos="720"/>
        </w:tabs>
        <w:ind w:left="720" w:hanging="360"/>
      </w:pPr>
    </w:lvl>
    <w:lvl w:ilvl="1" w:tentative="0">
      <w:start w:val="7"/>
      <w:numFmt w:val="lowerLetter"/>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1">
    <w:nsid w:val="3E00493F"/>
    <w:multiLevelType w:val="multilevel"/>
    <w:tmpl w:val="3E00493F"/>
    <w:lvl w:ilvl="0" w:tentative="0">
      <w:start w:val="1"/>
      <w:numFmt w:val="lowerRoman"/>
      <w:lvlText w:val="%1."/>
      <w:lvlJc w:val="righ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2">
    <w:nsid w:val="416456C0"/>
    <w:multiLevelType w:val="multilevel"/>
    <w:tmpl w:val="416456C0"/>
    <w:lvl w:ilvl="0" w:tentative="0">
      <w:start w:val="1"/>
      <w:numFmt w:val="lowerLetter"/>
      <w:lvlText w:val="%1."/>
      <w:lvlJc w:val="left"/>
      <w:pPr>
        <w:tabs>
          <w:tab w:val="left" w:pos="720"/>
        </w:tabs>
        <w:ind w:left="720" w:hanging="360"/>
      </w:pPr>
    </w:lvl>
    <w:lvl w:ilvl="1" w:tentative="0">
      <w:start w:val="5"/>
      <w:numFmt w:val="lowerLetter"/>
      <w:lvlText w:val="%2."/>
      <w:lvlJc w:val="left"/>
      <w:pPr>
        <w:tabs>
          <w:tab w:val="left" w:pos="1440"/>
        </w:tabs>
        <w:ind w:left="1440" w:hanging="360"/>
      </w:pPr>
    </w:lvl>
    <w:lvl w:ilvl="2" w:tentative="0">
      <w:start w:val="3"/>
      <w:numFmt w:val="lowerRoman"/>
      <w:lvlText w:val="%3."/>
      <w:lvlJc w:val="right"/>
      <w:pPr>
        <w:tabs>
          <w:tab w:val="left" w:pos="2160"/>
        </w:tabs>
        <w:ind w:left="2160" w:hanging="360"/>
      </w:pPr>
    </w:lvl>
    <w:lvl w:ilvl="3" w:tentative="0">
      <w:start w:val="1"/>
      <w:numFmt w:val="lowerRoman"/>
      <w:lvlText w:val="%4."/>
      <w:lvlJc w:val="righ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3">
    <w:nsid w:val="42BA269B"/>
    <w:multiLevelType w:val="multilevel"/>
    <w:tmpl w:val="42BA269B"/>
    <w:lvl w:ilvl="0" w:tentative="0">
      <w:start w:val="1"/>
      <w:numFmt w:val="lowerLetter"/>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4">
    <w:nsid w:val="455639C6"/>
    <w:multiLevelType w:val="multilevel"/>
    <w:tmpl w:val="455639C6"/>
    <w:lvl w:ilvl="0" w:tentative="0">
      <w:start w:val="3"/>
      <w:numFmt w:val="lowerLetter"/>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5">
    <w:nsid w:val="48A07792"/>
    <w:multiLevelType w:val="multilevel"/>
    <w:tmpl w:val="48A07792"/>
    <w:lvl w:ilvl="0" w:tentative="0">
      <w:start w:val="1"/>
      <w:numFmt w:val="lowerLetter"/>
      <w:lvlText w:val="%1."/>
      <w:lvlJc w:val="left"/>
      <w:pPr>
        <w:tabs>
          <w:tab w:val="left" w:pos="720"/>
        </w:tabs>
        <w:ind w:left="720" w:hanging="360"/>
      </w:pPr>
    </w:lvl>
    <w:lvl w:ilvl="1" w:tentative="0">
      <w:start w:val="5"/>
      <w:numFmt w:val="lowerLetter"/>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6">
    <w:nsid w:val="49212C2B"/>
    <w:multiLevelType w:val="multilevel"/>
    <w:tmpl w:val="49212C2B"/>
    <w:lvl w:ilvl="0" w:tentative="0">
      <w:start w:val="1"/>
      <w:numFmt w:val="lowerLetter"/>
      <w:lvlText w:val="%1."/>
      <w:lvlJc w:val="left"/>
      <w:pPr>
        <w:tabs>
          <w:tab w:val="left" w:pos="720"/>
        </w:tabs>
        <w:ind w:left="720" w:hanging="360"/>
      </w:pPr>
    </w:lvl>
    <w:lvl w:ilvl="1" w:tentative="0">
      <w:start w:val="2"/>
      <w:numFmt w:val="lowerLetter"/>
      <w:lvlText w:val="%2."/>
      <w:lvlJc w:val="left"/>
      <w:pPr>
        <w:tabs>
          <w:tab w:val="left" w:pos="1440"/>
        </w:tabs>
        <w:ind w:left="1440" w:hanging="360"/>
      </w:pPr>
    </w:lvl>
    <w:lvl w:ilvl="2" w:tentative="0">
      <w:start w:val="2"/>
      <w:numFmt w:val="lowerRoman"/>
      <w:lvlText w:val="%3."/>
      <w:lvlJc w:val="righ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7">
    <w:nsid w:val="5B2D164C"/>
    <w:multiLevelType w:val="multilevel"/>
    <w:tmpl w:val="5B2D164C"/>
    <w:lvl w:ilvl="0" w:tentative="0">
      <w:start w:val="1"/>
      <w:numFmt w:val="lowerLetter"/>
      <w:lvlText w:val="%1."/>
      <w:lvlJc w:val="left"/>
      <w:pPr>
        <w:tabs>
          <w:tab w:val="left" w:pos="720"/>
        </w:tabs>
        <w:ind w:left="720" w:hanging="360"/>
      </w:pPr>
    </w:lvl>
    <w:lvl w:ilvl="1" w:tentative="0">
      <w:start w:val="3"/>
      <w:numFmt w:val="lowerLetter"/>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8">
    <w:nsid w:val="5B952F3D"/>
    <w:multiLevelType w:val="multilevel"/>
    <w:tmpl w:val="5B952F3D"/>
    <w:lvl w:ilvl="0" w:tentative="0">
      <w:start w:val="1"/>
      <w:numFmt w:val="lowerLetter"/>
      <w:lvlText w:val="%1."/>
      <w:lvlJc w:val="left"/>
      <w:pPr>
        <w:tabs>
          <w:tab w:val="left" w:pos="720"/>
        </w:tabs>
        <w:ind w:left="720" w:hanging="360"/>
      </w:pPr>
    </w:lvl>
    <w:lvl w:ilvl="1" w:tentative="0">
      <w:start w:val="4"/>
      <w:numFmt w:val="lowerLetter"/>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9">
    <w:nsid w:val="5FA808D9"/>
    <w:multiLevelType w:val="multilevel"/>
    <w:tmpl w:val="5FA808D9"/>
    <w:lvl w:ilvl="0" w:tentative="0">
      <w:start w:val="1"/>
      <w:numFmt w:val="lowerLetter"/>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0">
    <w:nsid w:val="60AD1E96"/>
    <w:multiLevelType w:val="multilevel"/>
    <w:tmpl w:val="60AD1E96"/>
    <w:lvl w:ilvl="0" w:tentative="0">
      <w:start w:val="2"/>
      <w:numFmt w:val="lowerLetter"/>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1">
    <w:nsid w:val="615423AA"/>
    <w:multiLevelType w:val="multilevel"/>
    <w:tmpl w:val="615423AA"/>
    <w:lvl w:ilvl="0" w:tentative="0">
      <w:start w:val="1"/>
      <w:numFmt w:val="lowerLetter"/>
      <w:lvlText w:val="%1."/>
      <w:lvlJc w:val="left"/>
      <w:pPr>
        <w:tabs>
          <w:tab w:val="left" w:pos="720"/>
        </w:tabs>
        <w:ind w:left="720" w:hanging="360"/>
      </w:pPr>
    </w:lvl>
    <w:lvl w:ilvl="1" w:tentative="0">
      <w:start w:val="3"/>
      <w:numFmt w:val="lowerLetter"/>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2">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66075467"/>
    <w:multiLevelType w:val="multilevel"/>
    <w:tmpl w:val="66075467"/>
    <w:lvl w:ilvl="0" w:tentative="0">
      <w:start w:val="1"/>
      <w:numFmt w:val="lowerRoman"/>
      <w:lvlText w:val="%1."/>
      <w:lvlJc w:val="righ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4">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5">
    <w:nsid w:val="68B10B47"/>
    <w:multiLevelType w:val="multilevel"/>
    <w:tmpl w:val="68B10B47"/>
    <w:lvl w:ilvl="0" w:tentative="0">
      <w:start w:val="3"/>
      <w:numFmt w:val="lowerLetter"/>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6">
    <w:nsid w:val="698E2A29"/>
    <w:multiLevelType w:val="multilevel"/>
    <w:tmpl w:val="698E2A29"/>
    <w:lvl w:ilvl="0" w:tentative="0">
      <w:start w:val="1"/>
      <w:numFmt w:val="lowerRoman"/>
      <w:lvlText w:val="%1."/>
      <w:lvlJc w:val="righ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7">
    <w:nsid w:val="69A11CF7"/>
    <w:multiLevelType w:val="multilevel"/>
    <w:tmpl w:val="69A11CF7"/>
    <w:lvl w:ilvl="0" w:tentative="0">
      <w:start w:val="1"/>
      <w:numFmt w:val="lowerLetter"/>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8">
    <w:nsid w:val="6BBC5CC9"/>
    <w:multiLevelType w:val="multilevel"/>
    <w:tmpl w:val="6BBC5CC9"/>
    <w:lvl w:ilvl="0" w:tentative="0">
      <w:start w:val="1"/>
      <w:numFmt w:val="lowerLetter"/>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9">
    <w:nsid w:val="6BD111D5"/>
    <w:multiLevelType w:val="multilevel"/>
    <w:tmpl w:val="6BD111D5"/>
    <w:lvl w:ilvl="0" w:tentative="0">
      <w:start w:val="1"/>
      <w:numFmt w:val="lowerLetter"/>
      <w:lvlText w:val="%1."/>
      <w:lvlJc w:val="left"/>
      <w:pPr>
        <w:tabs>
          <w:tab w:val="left" w:pos="720"/>
        </w:tabs>
        <w:ind w:left="720" w:hanging="360"/>
      </w:pPr>
    </w:lvl>
    <w:lvl w:ilvl="1" w:tentative="0">
      <w:start w:val="2"/>
      <w:numFmt w:val="lowerLetter"/>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0">
    <w:nsid w:val="6D4D68FC"/>
    <w:multiLevelType w:val="multilevel"/>
    <w:tmpl w:val="6D4D68FC"/>
    <w:lvl w:ilvl="0" w:tentative="0">
      <w:start w:val="1"/>
      <w:numFmt w:val="lowerRoman"/>
      <w:lvlText w:val="%1."/>
      <w:lvlJc w:val="righ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1">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2">
    <w:nsid w:val="7B3D1603"/>
    <w:multiLevelType w:val="multilevel"/>
    <w:tmpl w:val="7B3D1603"/>
    <w:lvl w:ilvl="0" w:tentative="0">
      <w:start w:val="7"/>
      <w:numFmt w:val="lowerLetter"/>
      <w:lvlText w:val="%1."/>
      <w:lvlJc w:val="left"/>
      <w:pPr>
        <w:tabs>
          <w:tab w:val="left" w:pos="720"/>
        </w:tabs>
        <w:ind w:left="720" w:hanging="360"/>
      </w:pPr>
    </w:lvl>
    <w:lvl w:ilvl="1" w:tentative="0">
      <w:start w:val="1"/>
      <w:numFmt w:val="lowerRoman"/>
      <w:lvlText w:val="%2."/>
      <w:lvlJc w:val="righ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3">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12"/>
  </w:num>
  <w:num w:numId="3">
    <w:abstractNumId w:val="34"/>
  </w:num>
  <w:num w:numId="4">
    <w:abstractNumId w:val="19"/>
  </w:num>
  <w:num w:numId="5">
    <w:abstractNumId w:val="43"/>
  </w:num>
  <w:num w:numId="6">
    <w:abstractNumId w:val="32"/>
  </w:num>
  <w:num w:numId="7">
    <w:abstractNumId w:val="17"/>
  </w:num>
  <w:num w:numId="8">
    <w:abstractNumId w:val="41"/>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startOverride w:val="1"/>
    </w:lvlOverride>
    <w:lvlOverride w:ilvl="1">
      <w:startOverride w:val="5"/>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2"/>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6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AE0"/>
    <w:rsid w:val="000D2CDA"/>
    <w:rsid w:val="000D362A"/>
    <w:rsid w:val="000D36AC"/>
    <w:rsid w:val="000D37FA"/>
    <w:rsid w:val="000D389E"/>
    <w:rsid w:val="000D3F8F"/>
    <w:rsid w:val="000D4324"/>
    <w:rsid w:val="000D46D6"/>
    <w:rsid w:val="000D46EE"/>
    <w:rsid w:val="000D4896"/>
    <w:rsid w:val="000D4912"/>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13C4"/>
    <w:rsid w:val="000F13D7"/>
    <w:rsid w:val="000F17E4"/>
    <w:rsid w:val="000F1878"/>
    <w:rsid w:val="000F1A06"/>
    <w:rsid w:val="000F1CF3"/>
    <w:rsid w:val="000F1D2C"/>
    <w:rsid w:val="000F1F98"/>
    <w:rsid w:val="000F20CD"/>
    <w:rsid w:val="000F2965"/>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2C48"/>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AC6"/>
    <w:rsid w:val="001321CE"/>
    <w:rsid w:val="001322B0"/>
    <w:rsid w:val="00132671"/>
    <w:rsid w:val="00132767"/>
    <w:rsid w:val="00132917"/>
    <w:rsid w:val="00132E89"/>
    <w:rsid w:val="0013327F"/>
    <w:rsid w:val="0013334C"/>
    <w:rsid w:val="00133672"/>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51"/>
    <w:rsid w:val="00152066"/>
    <w:rsid w:val="001522B3"/>
    <w:rsid w:val="00152559"/>
    <w:rsid w:val="00152744"/>
    <w:rsid w:val="00152A3B"/>
    <w:rsid w:val="0015347E"/>
    <w:rsid w:val="0015365C"/>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11F"/>
    <w:rsid w:val="001A36CF"/>
    <w:rsid w:val="001A3788"/>
    <w:rsid w:val="001A3974"/>
    <w:rsid w:val="001A3BBA"/>
    <w:rsid w:val="001A3F0F"/>
    <w:rsid w:val="001A3FA5"/>
    <w:rsid w:val="001A4B4D"/>
    <w:rsid w:val="001A4EDF"/>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117"/>
    <w:rsid w:val="001E0564"/>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6F2"/>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429A"/>
    <w:rsid w:val="00254F38"/>
    <w:rsid w:val="00255C17"/>
    <w:rsid w:val="0025655A"/>
    <w:rsid w:val="00256B22"/>
    <w:rsid w:val="00256B25"/>
    <w:rsid w:val="00256D51"/>
    <w:rsid w:val="00256F02"/>
    <w:rsid w:val="002571C8"/>
    <w:rsid w:val="002572F1"/>
    <w:rsid w:val="002573C4"/>
    <w:rsid w:val="002578EF"/>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0D2"/>
    <w:rsid w:val="002923AA"/>
    <w:rsid w:val="00292540"/>
    <w:rsid w:val="0029279E"/>
    <w:rsid w:val="00292DBC"/>
    <w:rsid w:val="00293073"/>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3B5"/>
    <w:rsid w:val="002A4918"/>
    <w:rsid w:val="002A4B7D"/>
    <w:rsid w:val="002A4E20"/>
    <w:rsid w:val="002A523D"/>
    <w:rsid w:val="002A5FC1"/>
    <w:rsid w:val="002A6EF8"/>
    <w:rsid w:val="002A732C"/>
    <w:rsid w:val="002A7671"/>
    <w:rsid w:val="002A7A6A"/>
    <w:rsid w:val="002A7AB4"/>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1252"/>
    <w:rsid w:val="002F203F"/>
    <w:rsid w:val="002F22C3"/>
    <w:rsid w:val="002F2AE0"/>
    <w:rsid w:val="002F31C4"/>
    <w:rsid w:val="002F322F"/>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629"/>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089"/>
    <w:rsid w:val="0034511B"/>
    <w:rsid w:val="003453BF"/>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BA6"/>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3ED8"/>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798"/>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49B"/>
    <w:rsid w:val="0051058C"/>
    <w:rsid w:val="00510626"/>
    <w:rsid w:val="00510CE2"/>
    <w:rsid w:val="00511599"/>
    <w:rsid w:val="005119D6"/>
    <w:rsid w:val="00511E67"/>
    <w:rsid w:val="005126FC"/>
    <w:rsid w:val="00512747"/>
    <w:rsid w:val="005128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291"/>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ABA"/>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3217"/>
    <w:rsid w:val="00653273"/>
    <w:rsid w:val="00653FED"/>
    <w:rsid w:val="00653FFB"/>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5F0B"/>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AF1"/>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CB7"/>
    <w:rsid w:val="00724DB1"/>
    <w:rsid w:val="00725068"/>
    <w:rsid w:val="0072560E"/>
    <w:rsid w:val="00725CB6"/>
    <w:rsid w:val="00725CD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D90"/>
    <w:rsid w:val="00747446"/>
    <w:rsid w:val="007475BE"/>
    <w:rsid w:val="00747BD8"/>
    <w:rsid w:val="00747F05"/>
    <w:rsid w:val="0075038A"/>
    <w:rsid w:val="007503B7"/>
    <w:rsid w:val="0075076E"/>
    <w:rsid w:val="007509F9"/>
    <w:rsid w:val="00751B32"/>
    <w:rsid w:val="00751D99"/>
    <w:rsid w:val="00751F76"/>
    <w:rsid w:val="00752497"/>
    <w:rsid w:val="007524E2"/>
    <w:rsid w:val="00752FE7"/>
    <w:rsid w:val="00753F01"/>
    <w:rsid w:val="0075412E"/>
    <w:rsid w:val="007545E6"/>
    <w:rsid w:val="00754747"/>
    <w:rsid w:val="00754D64"/>
    <w:rsid w:val="00754FCC"/>
    <w:rsid w:val="00755348"/>
    <w:rsid w:val="00755420"/>
    <w:rsid w:val="00755559"/>
    <w:rsid w:val="00755B06"/>
    <w:rsid w:val="00755BAC"/>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5A13"/>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0BA"/>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1DE4"/>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2C"/>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67B28"/>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E9F"/>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00A"/>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6C"/>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F73"/>
    <w:rsid w:val="00964E3C"/>
    <w:rsid w:val="00964E69"/>
    <w:rsid w:val="0096504D"/>
    <w:rsid w:val="009654F0"/>
    <w:rsid w:val="009659EA"/>
    <w:rsid w:val="00965A4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378"/>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29E"/>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D39"/>
    <w:rsid w:val="009E3E19"/>
    <w:rsid w:val="009E457F"/>
    <w:rsid w:val="009E4ABC"/>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6A2"/>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532"/>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0E2"/>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5F1"/>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0E1"/>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5A2"/>
    <w:rsid w:val="00BA68C1"/>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B7F6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0F65"/>
    <w:rsid w:val="00C613E1"/>
    <w:rsid w:val="00C619CD"/>
    <w:rsid w:val="00C61B19"/>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EA3"/>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140"/>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E8"/>
    <w:rsid w:val="00D426FB"/>
    <w:rsid w:val="00D42B7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154"/>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E7C"/>
    <w:rsid w:val="00DE42A3"/>
    <w:rsid w:val="00DE464E"/>
    <w:rsid w:val="00DE4664"/>
    <w:rsid w:val="00DE4811"/>
    <w:rsid w:val="00DE4B0C"/>
    <w:rsid w:val="00DE5FDA"/>
    <w:rsid w:val="00DE61AA"/>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C0C"/>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0E3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2D5"/>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B69"/>
    <w:rsid w:val="00EC1D83"/>
    <w:rsid w:val="00EC1FE9"/>
    <w:rsid w:val="00EC28CD"/>
    <w:rsid w:val="00EC2915"/>
    <w:rsid w:val="00EC2C50"/>
    <w:rsid w:val="00EC2CD8"/>
    <w:rsid w:val="00EC2E21"/>
    <w:rsid w:val="00EC30FE"/>
    <w:rsid w:val="00EC3500"/>
    <w:rsid w:val="00EC36DD"/>
    <w:rsid w:val="00EC3E31"/>
    <w:rsid w:val="00EC3E81"/>
    <w:rsid w:val="00EC3EC8"/>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75B"/>
    <w:rsid w:val="00F12909"/>
    <w:rsid w:val="00F12B3D"/>
    <w:rsid w:val="00F12D5D"/>
    <w:rsid w:val="00F13242"/>
    <w:rsid w:val="00F1403E"/>
    <w:rsid w:val="00F140FE"/>
    <w:rsid w:val="00F1415B"/>
    <w:rsid w:val="00F1418D"/>
    <w:rsid w:val="00F14FB4"/>
    <w:rsid w:val="00F15CF3"/>
    <w:rsid w:val="00F15F83"/>
    <w:rsid w:val="00F160CF"/>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418"/>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5B00"/>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CF6"/>
    <w:rsid w:val="00FF70CF"/>
    <w:rsid w:val="00FF72A3"/>
    <w:rsid w:val="00FF74BE"/>
    <w:rsid w:val="00FF75D0"/>
    <w:rsid w:val="00FF78DB"/>
    <w:rsid w:val="00FF7A04"/>
    <w:rsid w:val="0284643E"/>
    <w:rsid w:val="03532C3F"/>
    <w:rsid w:val="03B25C4C"/>
    <w:rsid w:val="03F94E83"/>
    <w:rsid w:val="067D4C1C"/>
    <w:rsid w:val="06B127E5"/>
    <w:rsid w:val="072F2729"/>
    <w:rsid w:val="07C21FA9"/>
    <w:rsid w:val="0957797D"/>
    <w:rsid w:val="0972706B"/>
    <w:rsid w:val="09C21BB6"/>
    <w:rsid w:val="0AFC60B7"/>
    <w:rsid w:val="0BAD7041"/>
    <w:rsid w:val="0C6F5654"/>
    <w:rsid w:val="0D132BA9"/>
    <w:rsid w:val="0D660AC2"/>
    <w:rsid w:val="0D672BF6"/>
    <w:rsid w:val="0E120AD5"/>
    <w:rsid w:val="0EB06FFE"/>
    <w:rsid w:val="10150A41"/>
    <w:rsid w:val="1257267A"/>
    <w:rsid w:val="12A472D8"/>
    <w:rsid w:val="12FE321B"/>
    <w:rsid w:val="130859B8"/>
    <w:rsid w:val="141F2191"/>
    <w:rsid w:val="1575AEB2"/>
    <w:rsid w:val="164F7F6D"/>
    <w:rsid w:val="165E068A"/>
    <w:rsid w:val="1702D3F2"/>
    <w:rsid w:val="188D2058"/>
    <w:rsid w:val="18BA7603"/>
    <w:rsid w:val="18FD3F86"/>
    <w:rsid w:val="192B740B"/>
    <w:rsid w:val="1A514204"/>
    <w:rsid w:val="1B2E6DC7"/>
    <w:rsid w:val="1B5316CE"/>
    <w:rsid w:val="1B5E59D2"/>
    <w:rsid w:val="1C766428"/>
    <w:rsid w:val="1DD50930"/>
    <w:rsid w:val="1DF407BB"/>
    <w:rsid w:val="1E38003B"/>
    <w:rsid w:val="1F850095"/>
    <w:rsid w:val="1FB91CD0"/>
    <w:rsid w:val="20910CB1"/>
    <w:rsid w:val="20CD42FE"/>
    <w:rsid w:val="21035A99"/>
    <w:rsid w:val="21282288"/>
    <w:rsid w:val="23680C07"/>
    <w:rsid w:val="239E142D"/>
    <w:rsid w:val="245870DE"/>
    <w:rsid w:val="247247A7"/>
    <w:rsid w:val="2473146A"/>
    <w:rsid w:val="27C5366D"/>
    <w:rsid w:val="27DD67CA"/>
    <w:rsid w:val="28690808"/>
    <w:rsid w:val="28B07E55"/>
    <w:rsid w:val="28B54AA2"/>
    <w:rsid w:val="2A0F0B23"/>
    <w:rsid w:val="2AFE2B7E"/>
    <w:rsid w:val="2D376513"/>
    <w:rsid w:val="2DC863F1"/>
    <w:rsid w:val="2EB72406"/>
    <w:rsid w:val="2F2367DE"/>
    <w:rsid w:val="31542D3B"/>
    <w:rsid w:val="32832752"/>
    <w:rsid w:val="32FE23BF"/>
    <w:rsid w:val="330E6893"/>
    <w:rsid w:val="33DE0CB9"/>
    <w:rsid w:val="3511129D"/>
    <w:rsid w:val="359455FE"/>
    <w:rsid w:val="36CD07B0"/>
    <w:rsid w:val="375C57D7"/>
    <w:rsid w:val="37DD651E"/>
    <w:rsid w:val="38BA113F"/>
    <w:rsid w:val="3A135075"/>
    <w:rsid w:val="3A8424B5"/>
    <w:rsid w:val="3AB31D0C"/>
    <w:rsid w:val="3B4A3B53"/>
    <w:rsid w:val="3C923082"/>
    <w:rsid w:val="3D0354C7"/>
    <w:rsid w:val="3D7642C9"/>
    <w:rsid w:val="3DDA6D42"/>
    <w:rsid w:val="3E7347F4"/>
    <w:rsid w:val="3EF83C43"/>
    <w:rsid w:val="3F01664D"/>
    <w:rsid w:val="3F175FC8"/>
    <w:rsid w:val="3FD010A5"/>
    <w:rsid w:val="40850DCD"/>
    <w:rsid w:val="41AC1D9C"/>
    <w:rsid w:val="4242619A"/>
    <w:rsid w:val="42B20782"/>
    <w:rsid w:val="44917C93"/>
    <w:rsid w:val="46D41E44"/>
    <w:rsid w:val="47AE2F53"/>
    <w:rsid w:val="496938E0"/>
    <w:rsid w:val="49882B35"/>
    <w:rsid w:val="4B3872E6"/>
    <w:rsid w:val="4C8D3CD4"/>
    <w:rsid w:val="4CA149AE"/>
    <w:rsid w:val="4DF51404"/>
    <w:rsid w:val="4E5633F4"/>
    <w:rsid w:val="4E7740D9"/>
    <w:rsid w:val="4EAC0AFF"/>
    <w:rsid w:val="4EC2021D"/>
    <w:rsid w:val="50FD13B2"/>
    <w:rsid w:val="52FE30BB"/>
    <w:rsid w:val="536E79E7"/>
    <w:rsid w:val="54CE2507"/>
    <w:rsid w:val="55181CD2"/>
    <w:rsid w:val="55D01D97"/>
    <w:rsid w:val="57244B18"/>
    <w:rsid w:val="57EF6871"/>
    <w:rsid w:val="58240039"/>
    <w:rsid w:val="595A121E"/>
    <w:rsid w:val="59C75644"/>
    <w:rsid w:val="5AF07FF7"/>
    <w:rsid w:val="5AF422E5"/>
    <w:rsid w:val="5BF26431"/>
    <w:rsid w:val="5E780DEA"/>
    <w:rsid w:val="5F631FA8"/>
    <w:rsid w:val="65507243"/>
    <w:rsid w:val="656027FF"/>
    <w:rsid w:val="66457E51"/>
    <w:rsid w:val="6680376E"/>
    <w:rsid w:val="66ED31EA"/>
    <w:rsid w:val="691A3243"/>
    <w:rsid w:val="696C42BB"/>
    <w:rsid w:val="698A6B0F"/>
    <w:rsid w:val="6A782EAA"/>
    <w:rsid w:val="6B704279"/>
    <w:rsid w:val="6D020EA1"/>
    <w:rsid w:val="6E0F1211"/>
    <w:rsid w:val="6FBD0858"/>
    <w:rsid w:val="72E1752D"/>
    <w:rsid w:val="73A015C2"/>
    <w:rsid w:val="73A913CF"/>
    <w:rsid w:val="73EB1497"/>
    <w:rsid w:val="74000A47"/>
    <w:rsid w:val="74885606"/>
    <w:rsid w:val="751115BE"/>
    <w:rsid w:val="75740E00"/>
    <w:rsid w:val="763A080C"/>
    <w:rsid w:val="76EB5B39"/>
    <w:rsid w:val="776F4F23"/>
    <w:rsid w:val="78156E78"/>
    <w:rsid w:val="782D5EAF"/>
    <w:rsid w:val="789F1175"/>
    <w:rsid w:val="7931734A"/>
    <w:rsid w:val="7ADB38D4"/>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32"/>
    </w:rPr>
  </w:style>
  <w:style w:type="paragraph" w:styleId="4">
    <w:name w:val="heading 3"/>
    <w:basedOn w:val="3"/>
    <w:next w:val="1"/>
    <w:link w:val="106"/>
    <w:qFormat/>
    <w:uiPriority w:val="0"/>
    <w:pPr>
      <w:numPr>
        <w:ilvl w:val="2"/>
      </w:numPr>
      <w:spacing w:before="120"/>
      <w:outlineLvl w:val="2"/>
    </w:pPr>
    <w:rPr>
      <w:sz w:val="28"/>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0">
    <w:name w:val="Default Paragraph Font"/>
    <w:semiHidden/>
    <w:unhideWhenUsed/>
    <w:uiPriority w:val="1"/>
  </w:style>
  <w:style w:type="table" w:default="1" w:styleId="58">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118"/>
    <w:qFormat/>
    <w:uiPriority w:val="0"/>
    <w:rPr>
      <w:lang w:eastAsia="zh-CN"/>
    </w:r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130"/>
    <w:qFormat/>
    <w:uiPriority w:val="0"/>
    <w:pPr>
      <w:spacing w:before="120" w:after="120"/>
    </w:pPr>
    <w:rPr>
      <w:b/>
      <w:bCs/>
    </w:rPr>
  </w:style>
  <w:style w:type="paragraph" w:styleId="31">
    <w:name w:val="Document Map"/>
    <w:basedOn w:val="1"/>
    <w:semiHidden/>
    <w:qFormat/>
    <w:uiPriority w:val="0"/>
    <w:pPr>
      <w:shd w:val="clear" w:color="auto" w:fill="000080"/>
    </w:pPr>
    <w:rPr>
      <w:rFonts w:ascii="Tahoma" w:hAnsi="Tahoma"/>
    </w:rPr>
  </w:style>
  <w:style w:type="paragraph" w:styleId="32">
    <w:name w:val="Body Text 3"/>
    <w:basedOn w:val="1"/>
    <w:qFormat/>
    <w:uiPriority w:val="0"/>
    <w:rPr>
      <w:i/>
    </w:rPr>
  </w:style>
  <w:style w:type="paragraph" w:styleId="33">
    <w:name w:val="Body Text"/>
    <w:basedOn w:val="1"/>
    <w:link w:val="128"/>
    <w:qFormat/>
    <w:uiPriority w:val="0"/>
    <w:pPr>
      <w:spacing w:after="120"/>
    </w:pPr>
    <w:rPr>
      <w:sz w:val="22"/>
      <w:szCs w:val="24"/>
    </w:rPr>
  </w:style>
  <w:style w:type="paragraph" w:styleId="34">
    <w:name w:val="Body Text Indent"/>
    <w:basedOn w:val="1"/>
    <w:qFormat/>
    <w:uiPriority w:val="0"/>
    <w:pPr>
      <w:spacing w:before="240" w:line="240" w:lineRule="exact"/>
      <w:ind w:firstLine="960" w:firstLineChars="400"/>
    </w:pPr>
    <w:rPr>
      <w:rFonts w:eastAsia="楷体_GB2312"/>
      <w:sz w:val="24"/>
    </w:rPr>
  </w:style>
  <w:style w:type="paragraph" w:styleId="35">
    <w:name w:val="List Bullet 5"/>
    <w:basedOn w:val="26"/>
    <w:qFormat/>
    <w:uiPriority w:val="0"/>
    <w:pPr>
      <w:ind w:left="1702"/>
    </w:pPr>
  </w:style>
  <w:style w:type="paragraph" w:styleId="36">
    <w:name w:val="toc 8"/>
    <w:basedOn w:val="23"/>
    <w:next w:val="1"/>
    <w:semiHidden/>
    <w:qFormat/>
    <w:uiPriority w:val="0"/>
    <w:pPr>
      <w:spacing w:before="180"/>
      <w:ind w:left="2693" w:hanging="2693"/>
    </w:pPr>
    <w:rPr>
      <w:b/>
    </w:rPr>
  </w:style>
  <w:style w:type="paragraph" w:styleId="37">
    <w:name w:val="Balloon Text"/>
    <w:basedOn w:val="1"/>
    <w:semiHidden/>
    <w:qFormat/>
    <w:uiPriority w:val="0"/>
    <w:rPr>
      <w:rFonts w:ascii="Tahoma" w:hAnsi="Tahoma" w:cs="Tahoma"/>
      <w:sz w:val="16"/>
      <w:szCs w:val="16"/>
    </w:rPr>
  </w:style>
  <w:style w:type="paragraph" w:styleId="38">
    <w:name w:val="footer"/>
    <w:basedOn w:val="39"/>
    <w:link w:val="127"/>
    <w:qFormat/>
    <w:uiPriority w:val="99"/>
    <w:pPr>
      <w:jc w:val="center"/>
    </w:pPr>
    <w:rPr>
      <w:i/>
    </w:rPr>
  </w:style>
  <w:style w:type="paragraph" w:styleId="39">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40">
    <w:name w:val="Subtitle"/>
    <w:basedOn w:val="1"/>
    <w:next w:val="1"/>
    <w:link w:val="116"/>
    <w:qFormat/>
    <w:uiPriority w:val="0"/>
    <w:pPr>
      <w:spacing w:after="60"/>
      <w:jc w:val="center"/>
      <w:outlineLvl w:val="1"/>
    </w:pPr>
    <w:rPr>
      <w:rFonts w:ascii="Cambria" w:hAnsi="Cambria"/>
      <w:sz w:val="24"/>
      <w:szCs w:val="24"/>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1"/>
    <w:next w:val="1"/>
    <w:unhideWhenUsed/>
    <w:qFormat/>
    <w:uiPriority w:val="99"/>
    <w:pPr>
      <w:spacing w:before="120" w:after="120"/>
    </w:pPr>
  </w:style>
  <w:style w:type="paragraph" w:styleId="45">
    <w:name w:val="toc 9"/>
    <w:basedOn w:val="36"/>
    <w:next w:val="1"/>
    <w:semiHidden/>
    <w:qFormat/>
    <w:uiPriority w:val="0"/>
    <w:pPr>
      <w:ind w:left="1418" w:hanging="1418"/>
    </w:pPr>
  </w:style>
  <w:style w:type="paragraph" w:styleId="46">
    <w:name w:val="Body Text 2"/>
    <w:basedOn w:val="1"/>
    <w:qFormat/>
    <w:uiPriority w:val="0"/>
    <w:pPr>
      <w:tabs>
        <w:tab w:val="left" w:pos="1985"/>
      </w:tabs>
      <w:spacing w:after="0"/>
    </w:pPr>
    <w:rPr>
      <w:rFonts w:ascii="Arial" w:hAnsi="Arial"/>
      <w:sz w:val="22"/>
    </w:rPr>
  </w:style>
  <w:style w:type="paragraph" w:styleId="47">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8">
    <w:name w:val="index 1"/>
    <w:basedOn w:val="1"/>
    <w:next w:val="1"/>
    <w:semiHidden/>
    <w:qFormat/>
    <w:uiPriority w:val="0"/>
    <w:pPr>
      <w:keepLines/>
      <w:spacing w:after="0"/>
    </w:pPr>
  </w:style>
  <w:style w:type="paragraph" w:styleId="49">
    <w:name w:val="index 2"/>
    <w:basedOn w:val="48"/>
    <w:next w:val="1"/>
    <w:semiHidden/>
    <w:qFormat/>
    <w:uiPriority w:val="0"/>
    <w:pPr>
      <w:ind w:left="284"/>
    </w:pPr>
  </w:style>
  <w:style w:type="character" w:styleId="51">
    <w:name w:val="Strong"/>
    <w:basedOn w:val="50"/>
    <w:qFormat/>
    <w:uiPriority w:val="0"/>
    <w:rPr>
      <w:b/>
      <w:bCs/>
    </w:rPr>
  </w:style>
  <w:style w:type="character" w:styleId="52">
    <w:name w:val="page number"/>
    <w:basedOn w:val="50"/>
    <w:qFormat/>
    <w:uiPriority w:val="0"/>
  </w:style>
  <w:style w:type="character" w:styleId="53">
    <w:name w:val="FollowedHyperlink"/>
    <w:basedOn w:val="50"/>
    <w:semiHidden/>
    <w:unhideWhenUsed/>
    <w:qFormat/>
    <w:uiPriority w:val="0"/>
    <w:rPr>
      <w:color w:val="954F72" w:themeColor="followedHyperlink"/>
      <w:u w:val="single"/>
      <w14:textFill>
        <w14:solidFill>
          <w14:schemeClr w14:val="folHlink"/>
        </w14:solidFill>
      </w14:textFill>
    </w:rPr>
  </w:style>
  <w:style w:type="character" w:styleId="54">
    <w:name w:val="Emphasis"/>
    <w:basedOn w:val="50"/>
    <w:qFormat/>
    <w:uiPriority w:val="0"/>
    <w:rPr>
      <w:i/>
      <w:iCs/>
    </w:rPr>
  </w:style>
  <w:style w:type="character" w:styleId="55">
    <w:name w:val="Hyperlink"/>
    <w:qFormat/>
    <w:uiPriority w:val="99"/>
    <w:rPr>
      <w:color w:val="0000FF"/>
      <w:u w:val="single"/>
    </w:rPr>
  </w:style>
  <w:style w:type="character" w:styleId="56">
    <w:name w:val="annotation reference"/>
    <w:semiHidden/>
    <w:qFormat/>
    <w:uiPriority w:val="0"/>
    <w:rPr>
      <w:sz w:val="16"/>
      <w:szCs w:val="16"/>
    </w:rPr>
  </w:style>
  <w:style w:type="character" w:styleId="57">
    <w:name w:val="footnote reference"/>
    <w:semiHidden/>
    <w:qFormat/>
    <w:uiPriority w:val="0"/>
    <w:rPr>
      <w:b/>
      <w:position w:val="6"/>
      <w:sz w:val="16"/>
    </w:rPr>
  </w:style>
  <w:style w:type="table" w:styleId="59">
    <w:name w:val="Table Grid"/>
    <w:basedOn w:val="58"/>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3"/>
    <w:qFormat/>
    <w:uiPriority w:val="0"/>
    <w:pPr>
      <w:ind w:left="1134" w:firstLine="0"/>
    </w:pPr>
  </w:style>
  <w:style w:type="paragraph" w:customStyle="1" w:styleId="91">
    <w:name w:val="B5"/>
    <w:basedOn w:val="42"/>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Heading 1 Char1"/>
    <w:link w:val="2"/>
    <w:qFormat/>
    <w:uiPriority w:val="0"/>
    <w:rPr>
      <w:rFonts w:ascii="Arial" w:hAnsi="Arial" w:eastAsia="宋体"/>
      <w:sz w:val="36"/>
      <w:lang w:val="en-GB" w:eastAsia="en-US"/>
    </w:rPr>
  </w:style>
  <w:style w:type="character" w:customStyle="1" w:styleId="105">
    <w:name w:val="Heading 2 Char"/>
    <w:link w:val="3"/>
    <w:qFormat/>
    <w:uiPriority w:val="0"/>
    <w:rPr>
      <w:rFonts w:ascii="Arial" w:hAnsi="Arial" w:eastAsia="宋体"/>
      <w:sz w:val="32"/>
      <w:lang w:val="en-GB" w:eastAsia="en-US"/>
    </w:rPr>
  </w:style>
  <w:style w:type="character" w:customStyle="1" w:styleId="106">
    <w:name w:val="Heading 3 Char"/>
    <w:link w:val="4"/>
    <w:qFormat/>
    <w:uiPriority w:val="0"/>
    <w:rPr>
      <w:rFonts w:ascii="Arial" w:hAnsi="Arial" w:eastAsia="宋体"/>
      <w:sz w:val="28"/>
      <w:lang w:val="en-GB" w:eastAsia="en-US"/>
    </w:rPr>
  </w:style>
  <w:style w:type="character" w:customStyle="1" w:styleId="107">
    <w:name w:val="Heading 4 Char"/>
    <w:link w:val="5"/>
    <w:qFormat/>
    <w:uiPriority w:val="0"/>
    <w:rPr>
      <w:rFonts w:ascii="Arial" w:hAnsi="Arial" w:eastAsia="宋体"/>
      <w:sz w:val="24"/>
      <w:lang w:val="en-GB" w:eastAsia="en-US"/>
    </w:rPr>
  </w:style>
  <w:style w:type="character" w:customStyle="1" w:styleId="108">
    <w:name w:val="Heading 5 Char"/>
    <w:link w:val="6"/>
    <w:qFormat/>
    <w:uiPriority w:val="0"/>
    <w:rPr>
      <w:rFonts w:ascii="Arial" w:hAnsi="Arial" w:eastAsia="宋体"/>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Subtitle Char"/>
    <w:link w:val="40"/>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Comment Text Char"/>
    <w:link w:val="16"/>
    <w:qFormat/>
    <w:uiPriority w:val="0"/>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List Paragraph Char"/>
    <w:link w:val="114"/>
    <w:qFormat/>
    <w:locked/>
    <w:uiPriority w:val="34"/>
    <w:rPr>
      <w:rFonts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Footer Char"/>
    <w:basedOn w:val="50"/>
    <w:link w:val="38"/>
    <w:qFormat/>
    <w:uiPriority w:val="99"/>
    <w:rPr>
      <w:rFonts w:ascii="Arial" w:hAnsi="Arial"/>
      <w:b/>
      <w:i/>
      <w:sz w:val="18"/>
      <w:lang w:eastAsia="en-US"/>
    </w:rPr>
  </w:style>
  <w:style w:type="character" w:customStyle="1" w:styleId="128">
    <w:name w:val="Body Text Char"/>
    <w:basedOn w:val="50"/>
    <w:link w:val="33"/>
    <w:qFormat/>
    <w:uiPriority w:val="0"/>
    <w:rPr>
      <w:sz w:val="22"/>
      <w:szCs w:val="24"/>
      <w:lang w:eastAsia="en-US"/>
    </w:rPr>
  </w:style>
  <w:style w:type="table" w:customStyle="1" w:styleId="129">
    <w:name w:val="网格表 4 - 着色 11"/>
    <w:basedOn w:val="58"/>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Caption Char"/>
    <w:link w:val="30"/>
    <w:qFormat/>
    <w:uiPriority w:val="99"/>
    <w:rPr>
      <w:rFonts w:ascii="Times New Roman" w:hAnsi="Times New Roman"/>
      <w:b/>
      <w:bCs/>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0"/>
    <w:link w:val="131"/>
    <w:qFormat/>
    <w:uiPriority w:val="0"/>
    <w:rPr>
      <w:rFonts w:eastAsia="MS Mincho"/>
      <w:i/>
      <w:lang w:eastAsia="ja-JP"/>
    </w:rPr>
  </w:style>
  <w:style w:type="character" w:customStyle="1" w:styleId="133">
    <w:name w:val="NO Char"/>
    <w:basedOn w:val="50"/>
    <w:link w:val="68"/>
    <w:qFormat/>
    <w:locked/>
    <w:uiPriority w:val="0"/>
    <w:rPr>
      <w:rFonts w:ascii="Times New Roman" w:hAnsi="Times New Roman"/>
      <w:lang w:eastAsia="en-US"/>
    </w:rPr>
  </w:style>
  <w:style w:type="character" w:customStyle="1" w:styleId="134">
    <w:name w:val="B1 Char1"/>
    <w:basedOn w:val="50"/>
    <w:link w:val="87"/>
    <w:qFormat/>
    <w:locked/>
    <w:uiPriority w:val="0"/>
    <w:rPr>
      <w:lang w:eastAsia="en-US"/>
    </w:rPr>
  </w:style>
  <w:style w:type="character" w:customStyle="1" w:styleId="135">
    <w:name w:val="B2 Char"/>
    <w:basedOn w:val="50"/>
    <w:link w:val="88"/>
    <w:qFormat/>
    <w:locked/>
    <w:uiPriority w:val="0"/>
    <w:rPr>
      <w:lang w:eastAsia="en-US"/>
    </w:rPr>
  </w:style>
  <w:style w:type="character" w:customStyle="1" w:styleId="136">
    <w:name w:val="明显强调1"/>
    <w:basedOn w:val="50"/>
    <w:qFormat/>
    <w:uiPriority w:val="21"/>
    <w:rPr>
      <w:i/>
      <w:iCs/>
      <w:color w:val="5B9BD5" w:themeColor="accent1"/>
      <w14:textFill>
        <w14:solidFill>
          <w14:schemeClr w14:val="accent1"/>
        </w14:solidFill>
      </w14:textFill>
    </w:rPr>
  </w:style>
  <w:style w:type="character" w:customStyle="1" w:styleId="137">
    <w:name w:val="不明显强调1"/>
    <w:basedOn w:val="50"/>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0"/>
    <w:link w:val="138"/>
    <w:qFormat/>
    <w:uiPriority w:val="0"/>
    <w:rPr>
      <w:rFonts w:eastAsia="宋体"/>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eastAsia="宋体"/>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8"/>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8"/>
    <w:semiHidden/>
    <w:qFormat/>
    <w:uiPriority w:val="0"/>
    <w:rPr>
      <w:rFonts w:eastAsia="CG Times (WN)"/>
    </w:rPr>
    <w:tblPr>
      <w:tblLayout w:type="fixed"/>
      <w:tblCellMar>
        <w:top w:w="0" w:type="dxa"/>
        <w:left w:w="108" w:type="dxa"/>
        <w:bottom w:w="0" w:type="dxa"/>
        <w:right w:w="108" w:type="dxa"/>
      </w:tblCellMar>
    </w:tblPr>
  </w:style>
  <w:style w:type="character" w:customStyle="1" w:styleId="146">
    <w:name w:val="Subtle Emphasis1"/>
    <w:basedOn w:val="50"/>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0"/>
    <w:qFormat/>
    <w:uiPriority w:val="21"/>
    <w:rPr>
      <w:i/>
      <w:iCs/>
      <w:color w:val="5B9BD5" w:themeColor="accent1"/>
      <w14:textFill>
        <w14:solidFill>
          <w14:schemeClr w14:val="accent1"/>
        </w14:solidFill>
      </w14:textFill>
    </w:rPr>
  </w:style>
  <w:style w:type="character" w:customStyle="1" w:styleId="148">
    <w:name w:val="Subtle Reference1"/>
    <w:basedOn w:val="50"/>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0"/>
    <w:qFormat/>
    <w:uiPriority w:val="33"/>
    <w:rPr>
      <w:b/>
      <w:bCs/>
      <w:i/>
      <w:iCs/>
      <w:spacing w:val="5"/>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6.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4476F4-0AEB-4FE8-A516-89BC957C2AFE}">
  <ds:schemaRefs/>
</ds:datastoreItem>
</file>

<file path=customXml/itemProps3.xml><?xml version="1.0" encoding="utf-8"?>
<ds:datastoreItem xmlns:ds="http://schemas.openxmlformats.org/officeDocument/2006/customXml" ds:itemID="{DE437376-A7B6-47B7-A9FE-9D6C62534131}">
  <ds:schemaRefs/>
</ds:datastoreItem>
</file>

<file path=customXml/itemProps4.xml><?xml version="1.0" encoding="utf-8"?>
<ds:datastoreItem xmlns:ds="http://schemas.openxmlformats.org/officeDocument/2006/customXml" ds:itemID="{9C2FF60E-EDDE-47F2-966E-A40547D413B7}">
  <ds:schemaRefs/>
</ds:datastoreItem>
</file>

<file path=customXml/itemProps5.xml><?xml version="1.0" encoding="utf-8"?>
<ds:datastoreItem xmlns:ds="http://schemas.openxmlformats.org/officeDocument/2006/customXml" ds:itemID="{4F156B33-FE54-4BF7-8206-606715473FFD}">
  <ds:schemaRefs/>
</ds:datastoreItem>
</file>

<file path=customXml/itemProps6.xml><?xml version="1.0" encoding="utf-8"?>
<ds:datastoreItem xmlns:ds="http://schemas.openxmlformats.org/officeDocument/2006/customXml" ds:itemID="{04BF5348-08CE-46A2-B6C7-D667930F0DC1}">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7</Pages>
  <Words>3411</Words>
  <Characters>19444</Characters>
  <Lines>162</Lines>
  <Paragraphs>45</Paragraphs>
  <TotalTime>91</TotalTime>
  <ScaleCrop>false</ScaleCrop>
  <LinksUpToDate>false</LinksUpToDate>
  <CharactersWithSpaces>22810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2019-10-03T10:29:00Z</dcterms:created>
  <dc:creator>ZTE Corporation</dc:creator>
  <cp:lastModifiedBy>ZTE</cp:lastModifiedBy>
  <cp:lastPrinted>2018-04-07T03:05:00Z</cp:lastPrinted>
  <dcterms:modified xsi:type="dcterms:W3CDTF">2019-10-05T01:18:54Z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2052-10.8.2.7027</vt:lpwstr>
  </property>
</Properties>
</file>